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875991">
      <w:pPr>
        <w:keepNext/>
        <w:spacing w:after="160"/>
        <w:jc w:val="center"/>
      </w:pPr>
      <w:r>
        <w:rPr>
          <w:rFonts w:ascii="Times New Roman" w:hAnsi="Times New Roman" w:eastAsia="Songti SC"/>
          <w:b/>
          <w:sz w:val="32"/>
        </w:rPr>
        <w:t>智能穿戴设备在足球训练监测与表现评估中的应用研究：基于 ATHLOS 足球运动表现系统的实践</w:t>
      </w:r>
    </w:p>
    <w:p w14:paraId="1272E04C">
      <w:pPr>
        <w:keepNext/>
        <w:spacing w:after="80"/>
        <w:jc w:val="center"/>
      </w:pPr>
      <w:r>
        <w:rPr>
          <w:rFonts w:ascii="Times New Roman" w:hAnsi="Times New Roman" w:eastAsia="Songti SC"/>
          <w:b w:val="0"/>
          <w:sz w:val="24"/>
        </w:rPr>
        <w:t>李传奇</w:t>
      </w:r>
      <w:r>
        <w:rPr>
          <w:rFonts w:ascii="Times New Roman" w:hAnsi="Times New Roman" w:eastAsia="Songti SC"/>
          <w:b w:val="0"/>
          <w:sz w:val="16"/>
          <w:vertAlign w:val="superscript"/>
        </w:rPr>
        <w:t>①</w:t>
      </w:r>
    </w:p>
    <w:p w14:paraId="3C9671DE">
      <w:pPr>
        <w:keepNext/>
        <w:spacing w:after="200"/>
        <w:jc w:val="center"/>
      </w:pPr>
      <w:r>
        <w:rPr>
          <w:rFonts w:ascii="Times New Roman" w:hAnsi="Times New Roman" w:eastAsia="Songti SC"/>
          <w:b w:val="0"/>
          <w:sz w:val="24"/>
        </w:rPr>
        <w:t>（野蛮体魄，陕西 西安 71000）</w:t>
      </w:r>
    </w:p>
    <w:p w14:paraId="7373B66E">
      <w:pPr>
        <w:keepLines w:val="0"/>
        <w:widowControl/>
        <w:spacing w:before="0" w:after="80" w:line="400" w:lineRule="exact"/>
        <w:ind w:firstLine="0"/>
        <w:jc w:val="both"/>
      </w:pPr>
      <w:r>
        <w:rPr>
          <w:rFonts w:ascii="Times New Roman" w:hAnsi="Times New Roman" w:eastAsia="Songti SC"/>
          <w:b/>
          <w:sz w:val="24"/>
        </w:rPr>
        <w:t>摘  要：</w:t>
      </w:r>
      <w:r>
        <w:rPr>
          <w:rFonts w:ascii="Times New Roman" w:hAnsi="Times New Roman" w:eastAsia="Songti SC"/>
          <w:b w:val="0"/>
          <w:sz w:val="24"/>
        </w:rPr>
        <w:t>目的：探讨ATHLOS足球运动表现系统在青少年足球训练监测、训练—比赛比较和个体表现评估中的应用方式，构建由时间切片、GNSS指标计算、历史基线比较与教练反馈组成的软件应用流程。方法：采用3个青少年梯队的回顾性真实世界数据，包含高年龄青年组、U15组和U9/U10组。平台登记65名球员、64名完成设备绑定；经训练记录整理和总距离筛选，最终纳入61名球员、39个有效日期和343个球员日。系统以Asia/Shanghai为业务时区，以Epoch毫秒时间戳关联事件日期、用户起止窗口、D1至Dn训练分段及球员子窗口；总距离、距离密度和高速跑占比均以GNSS轨迹为统一数据源。统计分析先计算球员内中位数，再开展跨梯队描述、U15训练—比赛配对比较以及300、500、800 m纳入阈值敏感性分析。结果：343个球员日中有140个完成训练或比赛情境关联，U15组8个日期达到80%团队覆盖标准。U15组20名球员的比赛观测时长和总距离较训练分别减少71.55 min和2775.94 m，距离密度中位差为2.28 m/min，百分位Bootstrap 95%置信区间为-13.88～9.13 m/min，表明总量变化主要与用户划定的暴露时间有关。阈值由500 m调整至300 m或800 m后，三队球员水平距离密度中位数保持稳定。个体案例显示，总距离增加16.4%的同时距离密度下降6.3%，系统能够据此提示教练区分训练容量增加与单位时间强度变化。完整GNSS记录共8904个采样点，轨迹独立复算距离为7602.65 m，与平台报告值一致。结论：ATHLOS能够将智能穿戴采集、用户时间选择、训练分段、GNSS外部负荷指标和个体历史比较整合为可追溯的表现评估链。足球训练评价应同时呈现有效时长、总距离、距离密度、高速跑结构和训练情境，并以队内纵向基线支持训练复盘和负荷安排。</w:t>
      </w:r>
    </w:p>
    <w:p w14:paraId="645D94CC">
      <w:pPr>
        <w:keepNext/>
        <w:keepLines w:val="0"/>
        <w:widowControl/>
        <w:spacing w:before="40" w:after="120" w:line="400" w:lineRule="exact"/>
        <w:ind w:firstLine="0"/>
        <w:jc w:val="left"/>
        <w:rPr>
          <w:rFonts w:ascii="Times New Roman" w:hAnsi="Times New Roman" w:eastAsia="Songti SC"/>
          <w:b/>
          <w:sz w:val="24"/>
        </w:rPr>
      </w:pPr>
    </w:p>
    <w:p w14:paraId="332DAD7A">
      <w:pPr>
        <w:keepNext/>
        <w:keepLines w:val="0"/>
        <w:widowControl/>
        <w:spacing w:before="40" w:after="120" w:line="400" w:lineRule="exact"/>
        <w:ind w:firstLine="0"/>
        <w:jc w:val="left"/>
        <w:rPr>
          <w:rFonts w:ascii="Times New Roman" w:hAnsi="Times New Roman" w:eastAsia="Songti SC"/>
          <w:b/>
          <w:sz w:val="24"/>
        </w:rPr>
      </w:pPr>
    </w:p>
    <w:p w14:paraId="02D9CDB2">
      <w:pPr>
        <w:keepNext/>
        <w:keepLines w:val="0"/>
        <w:widowControl/>
        <w:spacing w:before="40" w:after="120" w:line="400" w:lineRule="exact"/>
        <w:ind w:firstLine="0"/>
        <w:jc w:val="left"/>
        <w:rPr>
          <w:rFonts w:ascii="Times New Roman" w:hAnsi="Times New Roman" w:eastAsia="Songti SC"/>
          <w:b/>
          <w:sz w:val="24"/>
        </w:rPr>
      </w:pPr>
    </w:p>
    <w:p w14:paraId="45E337E9">
      <w:pPr>
        <w:keepNext/>
        <w:keepLines w:val="0"/>
        <w:widowControl/>
        <w:spacing w:before="40" w:after="120" w:line="400" w:lineRule="exact"/>
        <w:ind w:firstLine="0"/>
        <w:jc w:val="left"/>
        <w:rPr>
          <w:rFonts w:ascii="Times New Roman" w:hAnsi="Times New Roman" w:eastAsia="Songti SC"/>
          <w:b/>
          <w:sz w:val="24"/>
        </w:rPr>
      </w:pPr>
    </w:p>
    <w:p w14:paraId="41EA409E">
      <w:pPr>
        <w:keepNext/>
        <w:keepLines w:val="0"/>
        <w:widowControl/>
        <w:spacing w:before="40" w:after="120" w:line="400" w:lineRule="exact"/>
        <w:ind w:firstLine="0"/>
        <w:jc w:val="left"/>
        <w:rPr>
          <w:rFonts w:ascii="Times New Roman" w:hAnsi="Times New Roman" w:eastAsia="Songti SC"/>
          <w:b/>
          <w:sz w:val="24"/>
        </w:rPr>
      </w:pPr>
      <w:bookmarkStart w:id="0" w:name="_GoBack"/>
      <w:bookmarkEnd w:id="0"/>
    </w:p>
    <w:p w14:paraId="654E6EF2">
      <w:pPr>
        <w:keepNext/>
        <w:keepLines w:val="0"/>
        <w:widowControl/>
        <w:spacing w:before="40" w:after="120" w:line="400" w:lineRule="exact"/>
        <w:ind w:firstLine="0"/>
        <w:jc w:val="left"/>
      </w:pPr>
      <w:r>
        <w:rPr>
          <w:rFonts w:ascii="Times New Roman" w:hAnsi="Times New Roman" w:eastAsia="Songti SC"/>
          <w:b/>
          <w:sz w:val="24"/>
        </w:rPr>
        <w:t>关键词：</w:t>
      </w:r>
      <w:r>
        <w:rPr>
          <w:rFonts w:ascii="Times New Roman" w:hAnsi="Times New Roman" w:eastAsia="Songti SC"/>
          <w:b w:val="0"/>
          <w:sz w:val="24"/>
        </w:rPr>
        <w:t>足球训练；智能穿戴设备；运动表现评估；训练负荷；GNSS</w:t>
      </w:r>
    </w:p>
    <w:p w14:paraId="147F8BAE">
      <w:pPr>
        <w:pBdr>
          <w:top w:val="single" w:color="808080" w:sz="4" w:space="1"/>
        </w:pBdr>
        <w:spacing w:before="100" w:after="120" w:line="300" w:lineRule="exact"/>
      </w:pPr>
      <w:r>
        <w:rPr>
          <w:rFonts w:ascii="Times New Roman" w:hAnsi="Times New Roman" w:eastAsia="Songti SC"/>
          <w:b w:val="0"/>
          <w:sz w:val="18"/>
        </w:rPr>
        <w:t>① 第一作者身份：足球领域从业者；联系电话：13989232366；通讯地址：雁塔区科创路西安电子科技大学科技园E座20楼20A；邮箱：907454527@qq.com。</w:t>
      </w:r>
    </w:p>
    <w:p w14:paraId="21B9B9E8">
      <w:pPr>
        <w:keepNext/>
        <w:keepLines w:val="0"/>
        <w:widowControl/>
        <w:spacing w:before="0" w:after="0" w:line="400" w:lineRule="exact"/>
        <w:ind w:firstLine="0"/>
        <w:jc w:val="both"/>
      </w:pPr>
      <w:r>
        <w:rPr>
          <w:rFonts w:ascii="Times New Roman" w:hAnsi="Times New Roman" w:eastAsia="Songti SC"/>
          <w:b/>
          <w:sz w:val="24"/>
        </w:rPr>
        <w:t>1. 问题提出</w:t>
      </w:r>
    </w:p>
    <w:p w14:paraId="170D5E34">
      <w:pPr>
        <w:keepLines w:val="0"/>
        <w:widowControl/>
        <w:spacing w:before="0" w:after="0" w:line="400" w:lineRule="exact"/>
        <w:ind w:firstLine="480"/>
        <w:jc w:val="both"/>
      </w:pPr>
      <w:r>
        <w:rPr>
          <w:rFonts w:ascii="Times New Roman" w:hAnsi="Times New Roman" w:eastAsia="Songti SC"/>
          <w:b w:val="0"/>
          <w:sz w:val="24"/>
        </w:rPr>
        <w:t>足球训练信息化的核心不是增加显示指标，而是把连续产生的设备数据转化为可追溯、可比较并能够进入训练决策的证据。我国足球改革与青少年足球发展政策持续强调科技支撑、训练质量和后备人才培养[1-3]；国际足联电子表现与跟踪系统（EPTS）质量计划则强调设备安全、测量准确性与使用边界[4-5]。这意味着穿戴终端能上传数据只是技术起点，数据是否代表真实训练暴露、能否跨球员和跨梯队比较，仍取决于身份绑定、事件组织、测量效度和统计设计。</w:t>
      </w:r>
    </w:p>
    <w:p w14:paraId="312744E7">
      <w:pPr>
        <w:keepLines w:val="0"/>
        <w:widowControl/>
        <w:spacing w:before="0" w:after="0" w:line="400" w:lineRule="exact"/>
        <w:ind w:firstLine="480"/>
        <w:jc w:val="both"/>
      </w:pPr>
      <w:r>
        <w:rPr>
          <w:rFonts w:ascii="Times New Roman" w:hAnsi="Times New Roman" w:eastAsia="Songti SC"/>
          <w:b w:val="0"/>
          <w:sz w:val="24"/>
        </w:rPr>
        <w:t>现有足球穿戴研究多在单次训练或严格实验条件下讨论GNSS测量效度和跑动负荷，而俱乐部平台的真实世界数据具有重复观测不平衡、事件情境多样、设备轮换和训练窗口不一致等特征。若把球员日直接视为相互独立样本，重复记录较多的球员会被过度加权；若不区分总距离与单位时间距离，较长观测窗口容易被解释为更高强度；若不考虑团队覆盖，少数佩戴者的均值又可能被扩展为全队表现。</w:t>
      </w:r>
    </w:p>
    <w:p w14:paraId="7F51F814">
      <w:pPr>
        <w:keepLines w:val="0"/>
        <w:widowControl/>
        <w:spacing w:before="0" w:after="0" w:line="400" w:lineRule="exact"/>
        <w:ind w:firstLine="480"/>
        <w:jc w:val="both"/>
      </w:pPr>
      <w:r>
        <w:rPr>
          <w:rFonts w:ascii="Times New Roman" w:hAnsi="Times New Roman" w:eastAsia="Songti SC"/>
          <w:b w:val="0"/>
          <w:sz w:val="24"/>
        </w:rPr>
        <w:t>从运动信息系统视角看，GNSS轨迹只有经过身份关联、时间切片、指标计算、参照选择和情境标注，才能转化为运动表现信息。这里的“表现评估”不是把总距离、速度和负荷简单相加形成分数，而是回答三个层次的问题：完成了多少外部负荷、单位时间强度如何、相较自身或同类事件发生了什么变化。本文统一采用GNSS轨迹生成距离与速度结构指标，并将外部负荷与教练设定的训练目标相结合[6-8]。</w:t>
      </w:r>
    </w:p>
    <w:p w14:paraId="5AC1B49E">
      <w:pPr>
        <w:keepLines w:val="0"/>
        <w:widowControl/>
        <w:spacing w:before="0" w:after="0" w:line="400" w:lineRule="exact"/>
        <w:ind w:firstLine="480"/>
        <w:jc w:val="both"/>
      </w:pPr>
      <w:r>
        <w:rPr>
          <w:rFonts w:ascii="Times New Roman" w:hAnsi="Times New Roman" w:eastAsia="Songti SC"/>
          <w:b w:val="0"/>
          <w:sz w:val="24"/>
        </w:rPr>
        <w:t>因此，本研究提出四个问题：ATHLOS如何把设备时间戳转换为用户可定义的训练窗口和分段；系统能够提供哪些GNSS训练监测指标；在控制重复观测和暴露时间后，跨梯队及训练—比赛表现呈现何种差异；软件如何把当前记录、个体历史、位置任务和团队覆盖组织为教练可使用的表现反馈。本研究的贡献在于把时间链、GNSS指标、参照比较和教练判读置于同一应用框架，使“训练监测”与“表现评估”在方法上可以区分、在系统中可以衔接。</w:t>
      </w:r>
    </w:p>
    <w:p w14:paraId="1FA0134D">
      <w:pPr>
        <w:keepNext/>
        <w:keepLines w:val="0"/>
        <w:widowControl/>
        <w:spacing w:before="0" w:after="0" w:line="400" w:lineRule="exact"/>
        <w:ind w:firstLine="0"/>
        <w:jc w:val="both"/>
        <w:rPr>
          <w:rFonts w:ascii="Times New Roman" w:hAnsi="Times New Roman" w:eastAsia="Songti SC"/>
          <w:b/>
          <w:sz w:val="24"/>
        </w:rPr>
      </w:pPr>
    </w:p>
    <w:p w14:paraId="6B72A23B">
      <w:pPr>
        <w:keepNext/>
        <w:keepLines w:val="0"/>
        <w:widowControl/>
        <w:spacing w:before="0" w:after="0" w:line="400" w:lineRule="exact"/>
        <w:ind w:firstLine="0"/>
        <w:jc w:val="both"/>
      </w:pPr>
      <w:r>
        <w:rPr>
          <w:rFonts w:ascii="Times New Roman" w:hAnsi="Times New Roman" w:eastAsia="Songti SC"/>
          <w:b/>
          <w:sz w:val="24"/>
        </w:rPr>
        <w:t>2. 研究对象与方法</w:t>
      </w:r>
    </w:p>
    <w:p w14:paraId="1EDCE7AB">
      <w:pPr>
        <w:keepNext/>
        <w:keepLines w:val="0"/>
        <w:widowControl/>
        <w:spacing w:before="0" w:after="0" w:line="400" w:lineRule="exact"/>
        <w:ind w:firstLine="0"/>
        <w:jc w:val="both"/>
      </w:pPr>
      <w:r>
        <w:rPr>
          <w:rFonts w:ascii="Times New Roman" w:hAnsi="Times New Roman" w:eastAsia="Songti SC"/>
          <w:b/>
          <w:sz w:val="24"/>
        </w:rPr>
        <w:t>2.1 研究设计与对象</w:t>
      </w:r>
    </w:p>
    <w:p w14:paraId="58A5926E">
      <w:pPr>
        <w:keepLines w:val="0"/>
        <w:widowControl/>
        <w:spacing w:before="0" w:after="0" w:line="400" w:lineRule="exact"/>
        <w:ind w:firstLine="480"/>
        <w:jc w:val="both"/>
      </w:pPr>
      <w:r>
        <w:rPr>
          <w:rFonts w:ascii="Times New Roman" w:hAnsi="Times New Roman" w:eastAsia="Songti SC"/>
          <w:b w:val="0"/>
          <w:sz w:val="24"/>
        </w:rPr>
        <w:t>采用回顾性真实世界观察设计。研究对象为3个经授权使用ATHLOS足球运动表现系统的青少年梯队，依据数据提供方确认的训练层级匿名记为G1（高年龄青年组）、G2（U15组）和G3（U9/U10组）。平台共登记65名场上球员，其中64名完成设备绑定；守门员未佩戴或未形成有效记录者不进入负荷分析。研究删除球队名称、球员姓名、号码、出生日期、设备序列号和账号标识，仅以稳定匿名编号连接重复记录。由于每个层级只有1支球队，梯队标签同时包含球队、教练安排和竞赛情境，组间结果仅作为探索性描述，不作年龄因果推断。</w:t>
      </w:r>
    </w:p>
    <w:p w14:paraId="7462A5CB">
      <w:pPr>
        <w:keepLines w:val="0"/>
        <w:widowControl/>
        <w:spacing w:before="0" w:after="0" w:line="400" w:lineRule="exact"/>
        <w:ind w:firstLine="480"/>
        <w:jc w:val="both"/>
      </w:pPr>
      <w:r>
        <w:rPr>
          <w:rFonts w:ascii="Times New Roman" w:hAnsi="Times New Roman" w:eastAsia="Songti SC"/>
          <w:b w:val="0"/>
          <w:sz w:val="24"/>
        </w:rPr>
        <w:t>数据时间范围为2026年4月至7月，包括事件元数据、设备日汇总、球员指标和1条完整原始传感器记录。3队共有20条事件，按日期去重后为15个事件日期；设备层共有61个候选日期，其中42天至少出现1条运动记录。总距离小于500 m的开机、短时测试或不完整暴露被排除，最终纳入39个有效日期、343个球员日和61名球员。另将筛选值调整为300 m和800 m进行敏感性分析。样本流程见图1。</w:t>
      </w:r>
    </w:p>
    <w:p w14:paraId="553C9D6A">
      <w:pPr>
        <w:keepNext/>
        <w:spacing w:before="40" w:after="100"/>
        <w:jc w:val="center"/>
      </w:pPr>
      <w:r>
        <w:rPr>
          <w:rFonts w:ascii="Times New Roman" w:hAnsi="Times New Roman" w:eastAsia="Songti SC"/>
          <w:b w:val="0"/>
          <w:sz w:val="21"/>
        </w:rPr>
        <w:t>表1  研究样本与数据纳入情况</w:t>
      </w:r>
    </w:p>
    <w:tbl>
      <w:tblPr>
        <w:tblStyle w:val="32"/>
        <w:tblW w:w="0" w:type="auto"/>
        <w:jc w:val="center"/>
        <w:tblBorders>
          <w:top w:val="single" w:color="000000" w:sz="12" w:space="0"/>
          <w:left w:val="none" w:color="auto" w:sz="0" w:space="0"/>
          <w:bottom w:val="single" w:color="000000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2"/>
        <w:gridCol w:w="1792"/>
        <w:gridCol w:w="1792"/>
        <w:gridCol w:w="1792"/>
        <w:gridCol w:w="1792"/>
      </w:tblGrid>
      <w:tr w14:paraId="7A8C1607">
        <w:trPr>
          <w:tblHeader/>
          <w:jc w:val="center"/>
        </w:trPr>
        <w:tc>
          <w:tcPr>
            <w:tcW w:w="2041" w:type="dxa"/>
            <w:tcBorders>
              <w:bottom w:val="single" w:color="000000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662F59">
            <w:pPr>
              <w:spacing w:line="300" w:lineRule="exact"/>
              <w:jc w:val="center"/>
            </w:pPr>
            <w:r>
              <w:rPr>
                <w:rFonts w:ascii="Times New Roman" w:hAnsi="Times New Roman" w:eastAsia="Songti SC"/>
                <w:b/>
                <w:sz w:val="21"/>
              </w:rPr>
              <w:t>梯队</w:t>
            </w:r>
          </w:p>
        </w:tc>
        <w:tc>
          <w:tcPr>
            <w:tcW w:w="1871" w:type="dxa"/>
            <w:tcBorders>
              <w:bottom w:val="single" w:color="000000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E8B0DC">
            <w:pPr>
              <w:spacing w:line="300" w:lineRule="exact"/>
              <w:jc w:val="center"/>
            </w:pPr>
            <w:r>
              <w:rPr>
                <w:rFonts w:ascii="Times New Roman" w:hAnsi="Times New Roman" w:eastAsia="Songti SC"/>
                <w:b/>
                <w:sz w:val="21"/>
              </w:rPr>
              <w:t>注册/绑定人数</w:t>
            </w:r>
          </w:p>
        </w:tc>
        <w:tc>
          <w:tcPr>
            <w:tcW w:w="2551" w:type="dxa"/>
            <w:tcBorders>
              <w:bottom w:val="single" w:color="000000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BF9777">
            <w:pPr>
              <w:spacing w:line="300" w:lineRule="exact"/>
              <w:jc w:val="center"/>
            </w:pPr>
            <w:r>
              <w:rPr>
                <w:rFonts w:ascii="Times New Roman" w:hAnsi="Times New Roman" w:eastAsia="Songti SC"/>
                <w:b/>
                <w:sz w:val="21"/>
              </w:rPr>
              <w:t>候选/有记录/有效日期</w:t>
            </w:r>
          </w:p>
        </w:tc>
        <w:tc>
          <w:tcPr>
            <w:tcW w:w="1871" w:type="dxa"/>
            <w:tcBorders>
              <w:bottom w:val="single" w:color="000000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E5B028">
            <w:pPr>
              <w:spacing w:line="300" w:lineRule="exact"/>
              <w:jc w:val="center"/>
            </w:pPr>
            <w:r>
              <w:rPr>
                <w:rFonts w:ascii="Times New Roman" w:hAnsi="Times New Roman" w:eastAsia="Songti SC"/>
                <w:b/>
                <w:sz w:val="21"/>
              </w:rPr>
              <w:t>有效球员日</w:t>
            </w:r>
          </w:p>
        </w:tc>
        <w:tc>
          <w:tcPr>
            <w:tcW w:w="1701" w:type="dxa"/>
            <w:tcBorders>
              <w:bottom w:val="single" w:color="000000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BB9EFB">
            <w:pPr>
              <w:spacing w:line="300" w:lineRule="exact"/>
              <w:jc w:val="center"/>
            </w:pPr>
            <w:r>
              <w:rPr>
                <w:rFonts w:ascii="Times New Roman" w:hAnsi="Times New Roman" w:eastAsia="Songti SC"/>
                <w:b/>
                <w:sz w:val="21"/>
              </w:rPr>
              <w:t>有效球员</w:t>
            </w:r>
          </w:p>
        </w:tc>
      </w:tr>
      <w:tr w14:paraId="69D17C9F">
        <w:trPr>
          <w:cantSplit/>
          <w:jc w:val="center"/>
        </w:trPr>
        <w:tc>
          <w:tcPr>
            <w:tcW w:w="2041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547F36D0">
            <w:pPr>
              <w:spacing w:line="300" w:lineRule="exact"/>
              <w:jc w:val="center"/>
            </w:pPr>
            <w:r>
              <w:rPr>
                <w:rFonts w:ascii="Times New Roman" w:hAnsi="Times New Roman" w:eastAsia="Songti SC"/>
                <w:b w:val="0"/>
                <w:sz w:val="21"/>
              </w:rPr>
              <w:t>G1 高年龄青年组</w:t>
            </w:r>
          </w:p>
        </w:tc>
        <w:tc>
          <w:tcPr>
            <w:tcW w:w="1871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1F45692B">
            <w:pPr>
              <w:spacing w:line="300" w:lineRule="exact"/>
              <w:jc w:val="center"/>
            </w:pPr>
            <w:r>
              <w:rPr>
                <w:rFonts w:ascii="Times New Roman" w:hAnsi="Times New Roman" w:eastAsia="Songti SC"/>
                <w:b w:val="0"/>
                <w:sz w:val="21"/>
              </w:rPr>
              <w:t>11/10</w:t>
            </w:r>
          </w:p>
        </w:tc>
        <w:tc>
          <w:tcPr>
            <w:tcW w:w="2551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42DAE2CE">
            <w:pPr>
              <w:spacing w:line="300" w:lineRule="exact"/>
              <w:jc w:val="center"/>
            </w:pPr>
            <w:r>
              <w:rPr>
                <w:rFonts w:ascii="Times New Roman" w:hAnsi="Times New Roman" w:eastAsia="Songti SC"/>
                <w:b w:val="0"/>
                <w:sz w:val="21"/>
              </w:rPr>
              <w:t>22/13/12</w:t>
            </w:r>
          </w:p>
        </w:tc>
        <w:tc>
          <w:tcPr>
            <w:tcW w:w="1871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1BB4FFF5">
            <w:pPr>
              <w:spacing w:line="300" w:lineRule="exact"/>
              <w:jc w:val="center"/>
            </w:pPr>
            <w:r>
              <w:rPr>
                <w:rFonts w:ascii="Times New Roman" w:hAnsi="Times New Roman" w:eastAsia="Songti SC"/>
                <w:b w:val="0"/>
                <w:sz w:val="21"/>
              </w:rPr>
              <w:t>25</w:t>
            </w:r>
          </w:p>
        </w:tc>
        <w:tc>
          <w:tcPr>
            <w:tcW w:w="1701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67D2C381">
            <w:pPr>
              <w:spacing w:line="300" w:lineRule="exact"/>
              <w:jc w:val="center"/>
            </w:pPr>
            <w:r>
              <w:rPr>
                <w:rFonts w:ascii="Times New Roman" w:hAnsi="Times New Roman" w:eastAsia="Songti SC"/>
                <w:b w:val="0"/>
                <w:sz w:val="21"/>
              </w:rPr>
              <w:t>10</w:t>
            </w:r>
          </w:p>
        </w:tc>
      </w:tr>
      <w:tr w14:paraId="1183EE4A">
        <w:trPr>
          <w:cantSplit/>
          <w:jc w:val="center"/>
        </w:trPr>
        <w:tc>
          <w:tcPr>
            <w:tcW w:w="2041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0F412551">
            <w:pPr>
              <w:spacing w:line="300" w:lineRule="exact"/>
              <w:jc w:val="center"/>
            </w:pPr>
            <w:r>
              <w:rPr>
                <w:rFonts w:ascii="Times New Roman" w:hAnsi="Times New Roman" w:eastAsia="Songti SC"/>
                <w:b w:val="0"/>
                <w:sz w:val="21"/>
              </w:rPr>
              <w:t>G2 U15组</w:t>
            </w:r>
          </w:p>
        </w:tc>
        <w:tc>
          <w:tcPr>
            <w:tcW w:w="1871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45E0A9CC">
            <w:pPr>
              <w:spacing w:line="300" w:lineRule="exact"/>
              <w:jc w:val="center"/>
            </w:pPr>
            <w:r>
              <w:rPr>
                <w:rFonts w:ascii="Times New Roman" w:hAnsi="Times New Roman" w:eastAsia="Songti SC"/>
                <w:b w:val="0"/>
                <w:sz w:val="21"/>
              </w:rPr>
              <w:t>26/26</w:t>
            </w:r>
          </w:p>
        </w:tc>
        <w:tc>
          <w:tcPr>
            <w:tcW w:w="2551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72DDEF5C">
            <w:pPr>
              <w:spacing w:line="300" w:lineRule="exact"/>
              <w:jc w:val="center"/>
            </w:pPr>
            <w:r>
              <w:rPr>
                <w:rFonts w:ascii="Times New Roman" w:hAnsi="Times New Roman" w:eastAsia="Songti SC"/>
                <w:b w:val="0"/>
                <w:sz w:val="21"/>
              </w:rPr>
              <w:t>26/21/20</w:t>
            </w:r>
          </w:p>
        </w:tc>
        <w:tc>
          <w:tcPr>
            <w:tcW w:w="1871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24B3FE44">
            <w:pPr>
              <w:spacing w:line="300" w:lineRule="exact"/>
              <w:jc w:val="center"/>
            </w:pPr>
            <w:r>
              <w:rPr>
                <w:rFonts w:ascii="Times New Roman" w:hAnsi="Times New Roman" w:eastAsia="Songti SC"/>
                <w:b w:val="0"/>
                <w:sz w:val="21"/>
              </w:rPr>
              <w:t>222</w:t>
            </w:r>
          </w:p>
        </w:tc>
        <w:tc>
          <w:tcPr>
            <w:tcW w:w="1701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1AB346AA">
            <w:pPr>
              <w:spacing w:line="300" w:lineRule="exact"/>
              <w:jc w:val="center"/>
            </w:pPr>
            <w:r>
              <w:rPr>
                <w:rFonts w:ascii="Times New Roman" w:hAnsi="Times New Roman" w:eastAsia="Songti SC"/>
                <w:b w:val="0"/>
                <w:sz w:val="21"/>
              </w:rPr>
              <w:t>26</w:t>
            </w:r>
          </w:p>
        </w:tc>
      </w:tr>
      <w:tr w14:paraId="4CD5B08F">
        <w:trPr>
          <w:cantSplit/>
          <w:jc w:val="center"/>
        </w:trPr>
        <w:tc>
          <w:tcPr>
            <w:tcW w:w="2041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1AF631BB">
            <w:pPr>
              <w:spacing w:line="300" w:lineRule="exact"/>
              <w:jc w:val="center"/>
            </w:pPr>
            <w:r>
              <w:rPr>
                <w:rFonts w:ascii="Times New Roman" w:hAnsi="Times New Roman" w:eastAsia="Songti SC"/>
                <w:b w:val="0"/>
                <w:sz w:val="21"/>
              </w:rPr>
              <w:t>G3 U9/U10组</w:t>
            </w:r>
          </w:p>
        </w:tc>
        <w:tc>
          <w:tcPr>
            <w:tcW w:w="1871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2175DA47">
            <w:pPr>
              <w:spacing w:line="300" w:lineRule="exact"/>
              <w:jc w:val="center"/>
            </w:pPr>
            <w:r>
              <w:rPr>
                <w:rFonts w:ascii="Times New Roman" w:hAnsi="Times New Roman" w:eastAsia="Songti SC"/>
                <w:b w:val="0"/>
                <w:sz w:val="21"/>
              </w:rPr>
              <w:t>28/28</w:t>
            </w:r>
          </w:p>
        </w:tc>
        <w:tc>
          <w:tcPr>
            <w:tcW w:w="2551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1A9B8D2E">
            <w:pPr>
              <w:spacing w:line="300" w:lineRule="exact"/>
              <w:jc w:val="center"/>
            </w:pPr>
            <w:r>
              <w:rPr>
                <w:rFonts w:ascii="Times New Roman" w:hAnsi="Times New Roman" w:eastAsia="Songti SC"/>
                <w:b w:val="0"/>
                <w:sz w:val="21"/>
              </w:rPr>
              <w:t>13/8/7</w:t>
            </w:r>
          </w:p>
        </w:tc>
        <w:tc>
          <w:tcPr>
            <w:tcW w:w="1871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6FBDDA6A">
            <w:pPr>
              <w:spacing w:line="300" w:lineRule="exact"/>
              <w:jc w:val="center"/>
            </w:pPr>
            <w:r>
              <w:rPr>
                <w:rFonts w:ascii="Times New Roman" w:hAnsi="Times New Roman" w:eastAsia="Songti SC"/>
                <w:b w:val="0"/>
                <w:sz w:val="21"/>
              </w:rPr>
              <w:t>96</w:t>
            </w:r>
          </w:p>
        </w:tc>
        <w:tc>
          <w:tcPr>
            <w:tcW w:w="1701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27298860">
            <w:pPr>
              <w:spacing w:line="300" w:lineRule="exact"/>
              <w:jc w:val="center"/>
            </w:pPr>
            <w:r>
              <w:rPr>
                <w:rFonts w:ascii="Times New Roman" w:hAnsi="Times New Roman" w:eastAsia="Songti SC"/>
                <w:b w:val="0"/>
                <w:sz w:val="21"/>
              </w:rPr>
              <w:t>25</w:t>
            </w:r>
          </w:p>
        </w:tc>
      </w:tr>
      <w:tr w14:paraId="53371C6E">
        <w:trPr>
          <w:cantSplit/>
          <w:jc w:val="center"/>
        </w:trPr>
        <w:tc>
          <w:tcPr>
            <w:tcW w:w="2041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649B8B49">
            <w:pPr>
              <w:spacing w:line="300" w:lineRule="exact"/>
              <w:jc w:val="center"/>
            </w:pPr>
            <w:r>
              <w:rPr>
                <w:rFonts w:ascii="Times New Roman" w:hAnsi="Times New Roman" w:eastAsia="Songti SC"/>
                <w:b w:val="0"/>
                <w:sz w:val="21"/>
              </w:rPr>
              <w:t>合计</w:t>
            </w:r>
          </w:p>
        </w:tc>
        <w:tc>
          <w:tcPr>
            <w:tcW w:w="1871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696D76DD">
            <w:pPr>
              <w:spacing w:line="300" w:lineRule="exact"/>
              <w:jc w:val="center"/>
            </w:pPr>
            <w:r>
              <w:rPr>
                <w:rFonts w:ascii="Times New Roman" w:hAnsi="Times New Roman" w:eastAsia="Songti SC"/>
                <w:b w:val="0"/>
                <w:sz w:val="21"/>
              </w:rPr>
              <w:t>65/64</w:t>
            </w:r>
          </w:p>
        </w:tc>
        <w:tc>
          <w:tcPr>
            <w:tcW w:w="2551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69FFCCE8">
            <w:pPr>
              <w:spacing w:line="300" w:lineRule="exact"/>
              <w:jc w:val="center"/>
            </w:pPr>
            <w:r>
              <w:rPr>
                <w:rFonts w:ascii="Times New Roman" w:hAnsi="Times New Roman" w:eastAsia="Songti SC"/>
                <w:b w:val="0"/>
                <w:sz w:val="21"/>
              </w:rPr>
              <w:t>61/42/39</w:t>
            </w:r>
          </w:p>
        </w:tc>
        <w:tc>
          <w:tcPr>
            <w:tcW w:w="1871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2F87A335">
            <w:pPr>
              <w:spacing w:line="300" w:lineRule="exact"/>
              <w:jc w:val="center"/>
            </w:pPr>
            <w:r>
              <w:rPr>
                <w:rFonts w:ascii="Times New Roman" w:hAnsi="Times New Roman" w:eastAsia="Songti SC"/>
                <w:b w:val="0"/>
                <w:sz w:val="21"/>
              </w:rPr>
              <w:t>343</w:t>
            </w:r>
          </w:p>
        </w:tc>
        <w:tc>
          <w:tcPr>
            <w:tcW w:w="1701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49EAD95A">
            <w:pPr>
              <w:spacing w:line="300" w:lineRule="exact"/>
              <w:jc w:val="center"/>
            </w:pPr>
            <w:r>
              <w:rPr>
                <w:rFonts w:ascii="Times New Roman" w:hAnsi="Times New Roman" w:eastAsia="Songti SC"/>
                <w:b w:val="0"/>
                <w:sz w:val="21"/>
              </w:rPr>
              <w:t>61</w:t>
            </w:r>
          </w:p>
        </w:tc>
      </w:tr>
    </w:tbl>
    <w:p w14:paraId="536C47E1">
      <w:pPr>
        <w:spacing w:after="0"/>
      </w:pPr>
    </w:p>
    <w:p w14:paraId="352B2522">
      <w:pPr>
        <w:keepNext/>
        <w:jc w:val="center"/>
      </w:pPr>
      <w:r>
        <w:drawing>
          <wp:inline distT="0" distB="0" distL="114300" distR="114300">
            <wp:extent cx="5806440" cy="1851660"/>
            <wp:effectExtent l="0" t="0" r="1016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06440" cy="1851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230836">
      <w:pPr>
        <w:spacing w:before="40" w:after="100"/>
        <w:jc w:val="center"/>
      </w:pPr>
      <w:r>
        <w:rPr>
          <w:rFonts w:ascii="Times New Roman" w:hAnsi="Times New Roman" w:eastAsia="Songti SC"/>
          <w:b w:val="0"/>
          <w:sz w:val="21"/>
        </w:rPr>
        <w:t>图1  跨梯队真实世界数据的纳入与分析流程</w:t>
      </w:r>
    </w:p>
    <w:p w14:paraId="1AE76FFE">
      <w:pPr>
        <w:keepNext/>
        <w:keepLines w:val="0"/>
        <w:widowControl/>
        <w:spacing w:before="0" w:after="0" w:line="400" w:lineRule="exact"/>
        <w:ind w:firstLine="0"/>
        <w:jc w:val="both"/>
      </w:pPr>
      <w:r>
        <w:rPr>
          <w:rFonts w:ascii="Times New Roman" w:hAnsi="Times New Roman" w:eastAsia="Songti SC"/>
          <w:b/>
          <w:sz w:val="24"/>
        </w:rPr>
        <w:t>2.2 系统组成与指标定义</w:t>
      </w:r>
    </w:p>
    <w:p w14:paraId="72179E92">
      <w:pPr>
        <w:keepLines w:val="0"/>
        <w:widowControl/>
        <w:spacing w:before="0" w:after="0" w:line="400" w:lineRule="exact"/>
        <w:ind w:firstLine="480"/>
        <w:jc w:val="both"/>
      </w:pPr>
      <w:r>
        <w:rPr>
          <w:rFonts w:ascii="Times New Roman" w:hAnsi="Times New Roman" w:eastAsia="Songti SC"/>
          <w:b w:val="0"/>
          <w:sz w:val="24"/>
        </w:rPr>
        <w:t>据项目交付和采集记录，三支梯队均使用同一型号的ATHLOS双频GNSS/RTK终端，并采用统一固件配置和服务端算法版本。终端同时配置高频六轴IMU、心电接口、Cat.1与蓝牙通信、本地存储和远程升级能力，标称续航约4-5 h[9]。开放场地工程验证显示，在RTK固定解和良好卫星条件下平面定位误差控制在1 m以内。本文聚焦GNSS外部负荷与表现评估，不展开内部负荷和运动医学指标。</w:t>
      </w:r>
    </w:p>
    <w:p w14:paraId="167811A4">
      <w:pPr>
        <w:keepLines w:val="0"/>
        <w:widowControl/>
        <w:spacing w:before="0" w:after="0" w:line="400" w:lineRule="exact"/>
        <w:ind w:firstLine="480"/>
        <w:jc w:val="both"/>
      </w:pPr>
      <w:r>
        <w:rPr>
          <w:rFonts w:ascii="Times New Roman" w:hAnsi="Times New Roman" w:eastAsia="Songti SC"/>
          <w:b w:val="0"/>
          <w:sz w:val="24"/>
        </w:rPr>
        <w:t>系统由穿戴采集、传输接入、数据处理、应用服务和治理审计五层构成。平台按球队—球员—设备—事件—分段组织数据。总距离按相邻有效GNSS坐标的Haversine距离累积，单段位移大于10 m或时间间隔大于5 s时不计入；每段GNSS位移除以时间间隔得到位移速度，并据0-1.98、1.98-5.5和5.5-11.0 m/s形成低速、中速和高速跑区间。本文涉及的距离、速度区间、高速跑占比和活动热区均由GNSS轨迹独立计算，计算口径见表2。</w:t>
      </w:r>
    </w:p>
    <w:p w14:paraId="658C6A50">
      <w:pPr>
        <w:keepNext/>
        <w:jc w:val="center"/>
      </w:pPr>
      <w:r>
        <w:drawing>
          <wp:inline distT="0" distB="0" distL="114300" distR="114300">
            <wp:extent cx="5806440" cy="1827530"/>
            <wp:effectExtent l="0" t="0" r="10160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06440" cy="1827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60416A">
      <w:pPr>
        <w:spacing w:before="40" w:after="100"/>
        <w:jc w:val="center"/>
      </w:pPr>
      <w:r>
        <w:rPr>
          <w:rFonts w:ascii="Times New Roman" w:hAnsi="Times New Roman" w:eastAsia="Songti SC"/>
          <w:b w:val="0"/>
          <w:sz w:val="21"/>
        </w:rPr>
        <w:t>图2  GNSS-IMU足球训练监测系统架构</w:t>
      </w:r>
    </w:p>
    <w:p w14:paraId="6624AC03">
      <w:pPr>
        <w:keepNext/>
        <w:spacing w:before="40" w:after="100"/>
        <w:jc w:val="center"/>
      </w:pPr>
      <w:r>
        <w:rPr>
          <w:rFonts w:ascii="Times New Roman" w:hAnsi="Times New Roman" w:eastAsia="Songti SC"/>
          <w:b w:val="0"/>
          <w:sz w:val="21"/>
        </w:rPr>
        <w:t>表2  主要指标的数据来源与计算口径</w:t>
      </w:r>
    </w:p>
    <w:tbl>
      <w:tblPr>
        <w:tblStyle w:val="32"/>
        <w:tblW w:w="0" w:type="auto"/>
        <w:jc w:val="center"/>
        <w:tblBorders>
          <w:top w:val="single" w:color="000000" w:sz="12" w:space="0"/>
          <w:left w:val="none" w:color="auto" w:sz="0" w:space="0"/>
          <w:bottom w:val="single" w:color="000000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9"/>
        <w:gridCol w:w="2239"/>
        <w:gridCol w:w="2239"/>
        <w:gridCol w:w="2239"/>
      </w:tblGrid>
      <w:tr w14:paraId="49B7978A">
        <w:trPr>
          <w:tblHeader/>
          <w:jc w:val="center"/>
        </w:trPr>
        <w:tc>
          <w:tcPr>
            <w:tcW w:w="1814" w:type="dxa"/>
            <w:tcBorders>
              <w:bottom w:val="single" w:color="000000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5E3682">
            <w:pPr>
              <w:spacing w:line="300" w:lineRule="exact"/>
              <w:jc w:val="center"/>
            </w:pPr>
            <w:r>
              <w:rPr>
                <w:rFonts w:ascii="Times New Roman" w:hAnsi="Times New Roman" w:eastAsia="Songti SC"/>
                <w:b/>
                <w:sz w:val="19"/>
              </w:rPr>
              <w:t>论文/系统指标</w:t>
            </w:r>
          </w:p>
        </w:tc>
        <w:tc>
          <w:tcPr>
            <w:tcW w:w="2381" w:type="dxa"/>
            <w:tcBorders>
              <w:bottom w:val="single" w:color="000000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BFE77F">
            <w:pPr>
              <w:spacing w:line="300" w:lineRule="exact"/>
              <w:jc w:val="center"/>
            </w:pPr>
            <w:r>
              <w:rPr>
                <w:rFonts w:ascii="Times New Roman" w:hAnsi="Times New Roman" w:eastAsia="Songti SC"/>
                <w:b/>
                <w:sz w:val="19"/>
              </w:rPr>
              <w:t>数据来源</w:t>
            </w:r>
          </w:p>
        </w:tc>
        <w:tc>
          <w:tcPr>
            <w:tcW w:w="4082" w:type="dxa"/>
            <w:tcBorders>
              <w:bottom w:val="single" w:color="000000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6323D3">
            <w:pPr>
              <w:spacing w:line="300" w:lineRule="exact"/>
              <w:jc w:val="center"/>
            </w:pPr>
            <w:r>
              <w:rPr>
                <w:rFonts w:ascii="Times New Roman" w:hAnsi="Times New Roman" w:eastAsia="Songti SC"/>
                <w:b/>
                <w:sz w:val="19"/>
              </w:rPr>
              <w:t>计算方式</w:t>
            </w:r>
          </w:p>
        </w:tc>
        <w:tc>
          <w:tcPr>
            <w:tcW w:w="1984" w:type="dxa"/>
            <w:tcBorders>
              <w:bottom w:val="single" w:color="000000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72B64F">
            <w:pPr>
              <w:spacing w:line="300" w:lineRule="exact"/>
              <w:jc w:val="center"/>
            </w:pPr>
            <w:r>
              <w:rPr>
                <w:rFonts w:ascii="Times New Roman" w:hAnsi="Times New Roman" w:eastAsia="Songti SC"/>
                <w:b/>
                <w:sz w:val="19"/>
              </w:rPr>
              <w:t>应用说明</w:t>
            </w:r>
          </w:p>
        </w:tc>
      </w:tr>
      <w:tr w14:paraId="514BEFB4">
        <w:trPr>
          <w:cantSplit/>
          <w:jc w:val="center"/>
        </w:trPr>
        <w:tc>
          <w:tcPr>
            <w:tcW w:w="1814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24F22F28">
            <w:pPr>
              <w:spacing w:line="300" w:lineRule="exact"/>
              <w:jc w:val="center"/>
            </w:pPr>
            <w:r>
              <w:rPr>
                <w:rFonts w:ascii="Times New Roman" w:hAnsi="Times New Roman" w:eastAsia="Songti SC"/>
                <w:b w:val="0"/>
                <w:sz w:val="19"/>
              </w:rPr>
              <w:t>有效时长</w:t>
            </w:r>
          </w:p>
        </w:tc>
        <w:tc>
          <w:tcPr>
            <w:tcW w:w="2381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6A36E8EE">
            <w:pPr>
              <w:spacing w:line="300" w:lineRule="exact"/>
              <w:jc w:val="center"/>
            </w:pPr>
            <w:r>
              <w:rPr>
                <w:rFonts w:ascii="Times New Roman" w:hAnsi="Times New Roman" w:eastAsia="Songti SC"/>
                <w:b w:val="0"/>
                <w:sz w:val="19"/>
              </w:rPr>
              <w:t>用户窗口/平台total_time</w:t>
            </w:r>
          </w:p>
        </w:tc>
        <w:tc>
          <w:tcPr>
            <w:tcW w:w="4082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1C156E00">
            <w:pPr>
              <w:spacing w:line="300" w:lineRule="exact"/>
              <w:jc w:val="center"/>
            </w:pPr>
            <w:r>
              <w:rPr>
                <w:rFonts w:ascii="Times New Roman" w:hAnsi="Times New Roman" w:eastAsia="Songti SC"/>
                <w:b w:val="0"/>
                <w:sz w:val="19"/>
              </w:rPr>
              <w:t>多个有效区间时累加Σ(Te-Ts)</w:t>
            </w:r>
          </w:p>
        </w:tc>
        <w:tc>
          <w:tcPr>
            <w:tcW w:w="1984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448AF097">
            <w:pPr>
              <w:spacing w:line="300" w:lineRule="exact"/>
              <w:jc w:val="center"/>
            </w:pPr>
            <w:r>
              <w:rPr>
                <w:rFonts w:ascii="Times New Roman" w:hAnsi="Times New Roman" w:eastAsia="Songti SC"/>
                <w:b w:val="0"/>
                <w:sz w:val="19"/>
              </w:rPr>
              <w:t>放行</w:t>
            </w:r>
          </w:p>
        </w:tc>
      </w:tr>
      <w:tr w14:paraId="098F4676">
        <w:trPr>
          <w:cantSplit/>
          <w:jc w:val="center"/>
        </w:trPr>
        <w:tc>
          <w:tcPr>
            <w:tcW w:w="1814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30E95E3F">
            <w:pPr>
              <w:spacing w:line="300" w:lineRule="exact"/>
              <w:jc w:val="center"/>
            </w:pPr>
            <w:r>
              <w:rPr>
                <w:rFonts w:ascii="Times New Roman" w:hAnsi="Times New Roman" w:eastAsia="Songti SC"/>
                <w:b w:val="0"/>
                <w:sz w:val="19"/>
              </w:rPr>
              <w:t>总距离</w:t>
            </w:r>
          </w:p>
        </w:tc>
        <w:tc>
          <w:tcPr>
            <w:tcW w:w="2381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5D23EE85">
            <w:pPr>
              <w:spacing w:line="300" w:lineRule="exact"/>
              <w:jc w:val="center"/>
            </w:pPr>
            <w:r>
              <w:rPr>
                <w:rFonts w:ascii="Times New Roman" w:hAnsi="Times New Roman" w:eastAsia="Songti SC"/>
                <w:b w:val="0"/>
                <w:sz w:val="19"/>
              </w:rPr>
              <w:t>GNSS经纬度</w:t>
            </w:r>
          </w:p>
        </w:tc>
        <w:tc>
          <w:tcPr>
            <w:tcW w:w="4082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04F9F588">
            <w:pPr>
              <w:spacing w:line="300" w:lineRule="exact"/>
              <w:jc w:val="center"/>
            </w:pPr>
            <w:r>
              <w:rPr>
                <w:rFonts w:ascii="Times New Roman" w:hAnsi="Times New Roman" w:eastAsia="Songti SC"/>
                <w:b w:val="0"/>
                <w:sz w:val="19"/>
              </w:rPr>
              <w:t>相邻有效坐标Haversine距离累积</w:t>
            </w:r>
          </w:p>
        </w:tc>
        <w:tc>
          <w:tcPr>
            <w:tcW w:w="1984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59073BC3">
            <w:pPr>
              <w:spacing w:line="300" w:lineRule="exact"/>
              <w:jc w:val="center"/>
            </w:pPr>
            <w:r>
              <w:rPr>
                <w:rFonts w:ascii="Times New Roman" w:hAnsi="Times New Roman" w:eastAsia="Songti SC"/>
                <w:b w:val="0"/>
                <w:sz w:val="19"/>
              </w:rPr>
              <w:t>放行</w:t>
            </w:r>
          </w:p>
        </w:tc>
      </w:tr>
      <w:tr w14:paraId="1A9492A6">
        <w:trPr>
          <w:cantSplit/>
          <w:jc w:val="center"/>
        </w:trPr>
        <w:tc>
          <w:tcPr>
            <w:tcW w:w="1814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0328AC1F">
            <w:pPr>
              <w:spacing w:line="300" w:lineRule="exact"/>
              <w:jc w:val="center"/>
            </w:pPr>
            <w:r>
              <w:rPr>
                <w:rFonts w:ascii="Times New Roman" w:hAnsi="Times New Roman" w:eastAsia="Songti SC"/>
                <w:b w:val="0"/>
                <w:sz w:val="19"/>
              </w:rPr>
              <w:t>距离密度</w:t>
            </w:r>
          </w:p>
        </w:tc>
        <w:tc>
          <w:tcPr>
            <w:tcW w:w="2381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5D264350">
            <w:pPr>
              <w:spacing w:line="300" w:lineRule="exact"/>
              <w:jc w:val="center"/>
            </w:pPr>
            <w:r>
              <w:rPr>
                <w:rFonts w:ascii="Times New Roman" w:hAnsi="Times New Roman" w:eastAsia="Songti SC"/>
                <w:b w:val="0"/>
                <w:sz w:val="19"/>
              </w:rPr>
              <w:t>总距离+有效时长</w:t>
            </w:r>
          </w:p>
        </w:tc>
        <w:tc>
          <w:tcPr>
            <w:tcW w:w="4082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5C7463E8">
            <w:pPr>
              <w:spacing w:line="300" w:lineRule="exact"/>
              <w:jc w:val="center"/>
            </w:pPr>
            <w:r>
              <w:rPr>
                <w:rFonts w:ascii="Times New Roman" w:hAnsi="Times New Roman" w:eastAsia="Songti SC"/>
                <w:b w:val="0"/>
                <w:sz w:val="19"/>
              </w:rPr>
              <w:t>GNSS总距离/有效分钟</w:t>
            </w:r>
          </w:p>
        </w:tc>
        <w:tc>
          <w:tcPr>
            <w:tcW w:w="1984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189C0A9E">
            <w:pPr>
              <w:spacing w:line="300" w:lineRule="exact"/>
              <w:jc w:val="center"/>
            </w:pPr>
            <w:r>
              <w:rPr>
                <w:rFonts w:ascii="Times New Roman" w:hAnsi="Times New Roman" w:eastAsia="Songti SC"/>
                <w:b w:val="0"/>
                <w:sz w:val="19"/>
              </w:rPr>
              <w:t>放行</w:t>
            </w:r>
          </w:p>
        </w:tc>
      </w:tr>
      <w:tr w14:paraId="29394589">
        <w:trPr>
          <w:cantSplit/>
          <w:jc w:val="center"/>
        </w:trPr>
        <w:tc>
          <w:tcPr>
            <w:tcW w:w="1814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74685842">
            <w:pPr>
              <w:spacing w:line="300" w:lineRule="exact"/>
              <w:jc w:val="center"/>
            </w:pPr>
            <w:r>
              <w:rPr>
                <w:rFonts w:ascii="Times New Roman" w:hAnsi="Times New Roman" w:eastAsia="Songti SC"/>
                <w:b w:val="0"/>
                <w:sz w:val="19"/>
              </w:rPr>
              <w:t>速度区间距离</w:t>
            </w:r>
          </w:p>
        </w:tc>
        <w:tc>
          <w:tcPr>
            <w:tcW w:w="2381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466B7235">
            <w:pPr>
              <w:spacing w:line="300" w:lineRule="exact"/>
              <w:jc w:val="center"/>
            </w:pPr>
            <w:r>
              <w:rPr>
                <w:rFonts w:ascii="Times New Roman" w:hAnsi="Times New Roman" w:eastAsia="Songti SC"/>
                <w:b w:val="0"/>
                <w:sz w:val="19"/>
              </w:rPr>
              <w:t>GNSS经纬度时间序列</w:t>
            </w:r>
          </w:p>
        </w:tc>
        <w:tc>
          <w:tcPr>
            <w:tcW w:w="4082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08F0A27D">
            <w:pPr>
              <w:spacing w:line="300" w:lineRule="exact"/>
              <w:jc w:val="center"/>
            </w:pPr>
            <w:r>
              <w:rPr>
                <w:rFonts w:ascii="Times New Roman" w:hAnsi="Times New Roman" w:eastAsia="Songti SC"/>
                <w:b w:val="0"/>
                <w:sz w:val="19"/>
              </w:rPr>
              <w:t>按GNSS位移速度分区累计距离</w:t>
            </w:r>
          </w:p>
        </w:tc>
        <w:tc>
          <w:tcPr>
            <w:tcW w:w="1984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2DFFE6B0">
            <w:pPr>
              <w:spacing w:line="300" w:lineRule="exact"/>
              <w:jc w:val="center"/>
            </w:pPr>
            <w:r>
              <w:rPr>
                <w:rFonts w:ascii="Times New Roman" w:hAnsi="Times New Roman" w:eastAsia="Songti SC"/>
                <w:b w:val="0"/>
                <w:sz w:val="19"/>
              </w:rPr>
              <w:t>统一GNSS口径</w:t>
            </w:r>
          </w:p>
        </w:tc>
      </w:tr>
      <w:tr w14:paraId="3C958812">
        <w:trPr>
          <w:cantSplit/>
          <w:jc w:val="center"/>
        </w:trPr>
        <w:tc>
          <w:tcPr>
            <w:tcW w:w="1814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39E0F8AA">
            <w:pPr>
              <w:spacing w:line="300" w:lineRule="exact"/>
              <w:jc w:val="center"/>
            </w:pPr>
            <w:r>
              <w:rPr>
                <w:rFonts w:ascii="Times New Roman" w:hAnsi="Times New Roman" w:eastAsia="Songti SC"/>
                <w:b w:val="0"/>
                <w:sz w:val="19"/>
              </w:rPr>
              <w:t>高速跑占比</w:t>
            </w:r>
          </w:p>
        </w:tc>
        <w:tc>
          <w:tcPr>
            <w:tcW w:w="2381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11E7A27B">
            <w:pPr>
              <w:spacing w:line="300" w:lineRule="exact"/>
              <w:jc w:val="center"/>
            </w:pPr>
            <w:r>
              <w:rPr>
                <w:rFonts w:ascii="Times New Roman" w:hAnsi="Times New Roman" w:eastAsia="Songti SC"/>
                <w:b w:val="0"/>
                <w:sz w:val="19"/>
              </w:rPr>
              <w:t>GNSS经纬度时间序列</w:t>
            </w:r>
          </w:p>
        </w:tc>
        <w:tc>
          <w:tcPr>
            <w:tcW w:w="4082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2937C47E">
            <w:pPr>
              <w:spacing w:line="300" w:lineRule="exact"/>
              <w:jc w:val="center"/>
            </w:pPr>
            <w:r>
              <w:rPr>
                <w:rFonts w:ascii="Times New Roman" w:hAnsi="Times New Roman" w:eastAsia="Songti SC"/>
                <w:b w:val="0"/>
                <w:sz w:val="19"/>
              </w:rPr>
              <w:t>5.5-11.0 m/s区间距离/总距离</w:t>
            </w:r>
          </w:p>
        </w:tc>
        <w:tc>
          <w:tcPr>
            <w:tcW w:w="1984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72F72EFA">
            <w:pPr>
              <w:spacing w:line="300" w:lineRule="exact"/>
              <w:jc w:val="center"/>
            </w:pPr>
            <w:r>
              <w:rPr>
                <w:rFonts w:ascii="Times New Roman" w:hAnsi="Times New Roman" w:eastAsia="Songti SC"/>
                <w:b w:val="0"/>
                <w:sz w:val="19"/>
              </w:rPr>
              <w:t>统一GNSS口径</w:t>
            </w:r>
          </w:p>
        </w:tc>
      </w:tr>
      <w:tr w14:paraId="59BC815D">
        <w:trPr>
          <w:cantSplit/>
          <w:jc w:val="center"/>
        </w:trPr>
        <w:tc>
          <w:tcPr>
            <w:tcW w:w="1814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3AB67325">
            <w:pPr>
              <w:spacing w:line="300" w:lineRule="exact"/>
              <w:jc w:val="center"/>
            </w:pPr>
            <w:r>
              <w:rPr>
                <w:rFonts w:ascii="Times New Roman" w:hAnsi="Times New Roman" w:eastAsia="Songti SC"/>
                <w:b w:val="0"/>
                <w:sz w:val="19"/>
              </w:rPr>
              <w:t>活动热区</w:t>
            </w:r>
          </w:p>
        </w:tc>
        <w:tc>
          <w:tcPr>
            <w:tcW w:w="2381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37201A43">
            <w:pPr>
              <w:spacing w:line="300" w:lineRule="exact"/>
              <w:jc w:val="center"/>
            </w:pPr>
            <w:r>
              <w:rPr>
                <w:rFonts w:ascii="Times New Roman" w:hAnsi="Times New Roman" w:eastAsia="Songti SC"/>
                <w:b w:val="0"/>
                <w:sz w:val="19"/>
              </w:rPr>
              <w:t>GNSS经纬度</w:t>
            </w:r>
          </w:p>
        </w:tc>
        <w:tc>
          <w:tcPr>
            <w:tcW w:w="4082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67663A19">
            <w:pPr>
              <w:spacing w:line="300" w:lineRule="exact"/>
              <w:jc w:val="center"/>
            </w:pPr>
            <w:r>
              <w:rPr>
                <w:rFonts w:ascii="Times New Roman" w:hAnsi="Times New Roman" w:eastAsia="Songti SC"/>
                <w:b w:val="0"/>
                <w:sz w:val="19"/>
              </w:rPr>
              <w:t>有效窗口内坐标网格化统计</w:t>
            </w:r>
          </w:p>
        </w:tc>
        <w:tc>
          <w:tcPr>
            <w:tcW w:w="1984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78F92F3F">
            <w:pPr>
              <w:spacing w:line="300" w:lineRule="exact"/>
              <w:jc w:val="center"/>
            </w:pPr>
            <w:r>
              <w:rPr>
                <w:rFonts w:ascii="Times New Roman" w:hAnsi="Times New Roman" w:eastAsia="Songti SC"/>
                <w:b w:val="0"/>
                <w:sz w:val="19"/>
              </w:rPr>
              <w:t>用于空间表现解释</w:t>
            </w:r>
          </w:p>
        </w:tc>
      </w:tr>
    </w:tbl>
    <w:p w14:paraId="60662738">
      <w:pPr>
        <w:spacing w:after="0"/>
      </w:pPr>
    </w:p>
    <w:p w14:paraId="5493FA2D">
      <w:pPr>
        <w:keepNext/>
        <w:keepLines w:val="0"/>
        <w:widowControl/>
        <w:spacing w:before="0" w:after="0" w:line="400" w:lineRule="exact"/>
        <w:ind w:firstLine="0"/>
        <w:jc w:val="both"/>
      </w:pPr>
      <w:r>
        <w:rPr>
          <w:rFonts w:ascii="Times New Roman" w:hAnsi="Times New Roman" w:eastAsia="Songti SC"/>
          <w:b/>
          <w:sz w:val="24"/>
        </w:rPr>
        <w:t>2.3 系统时间组织与训练区间切片</w:t>
      </w:r>
    </w:p>
    <w:p w14:paraId="32D67383">
      <w:pPr>
        <w:keepLines w:val="0"/>
        <w:widowControl/>
        <w:spacing w:before="0" w:after="0" w:line="400" w:lineRule="exact"/>
        <w:ind w:firstLine="480"/>
        <w:jc w:val="both"/>
      </w:pPr>
      <w:r>
        <w:rPr>
          <w:rFonts w:ascii="Times New Roman" w:hAnsi="Times New Roman" w:eastAsia="Songti SC"/>
          <w:b w:val="0"/>
          <w:sz w:val="24"/>
        </w:rPr>
        <w:t>ATHLOS以Asia/Shanghai为业务时区，以Epoch毫秒作为设备记录和事件分段的统一时间尺度。系统将实时与历史记录归一到相同时间键后，按事件日期载入球员轨迹，并以5 s桶显示时间轴预览。教练据此划定事件总窗口[Ts，Te]，还可建立D1至Dn训练分段；当某名球员并非全程参与时，可在分段内另选球员子窗口。</w:t>
      </w:r>
    </w:p>
    <w:p w14:paraId="66E6E6F8">
      <w:pPr>
        <w:keepLines w:val="0"/>
        <w:widowControl/>
        <w:spacing w:before="0" w:after="0" w:line="400" w:lineRule="exact"/>
        <w:ind w:firstLine="480"/>
        <w:jc w:val="both"/>
      </w:pPr>
      <w:r>
        <w:rPr>
          <w:rFonts w:ascii="Times New Roman" w:hAnsi="Times New Roman" w:eastAsia="Songti SC"/>
          <w:b w:val="0"/>
          <w:sz w:val="24"/>
        </w:rPr>
        <w:t>后端对每个区间执行Ts&gt;0、Te&gt;Ts校验，并按Ts≤t≤Te从原始记录切片后计算指标。若一次训练含多个不连续区间，有效暴露时长按Σ(Te-Ts)计算，而不是把区间之间的休息或设备停用时间计入运动暴露；完整报告的显示起止时刻取全部分段的min(Ts)和max(Te)，并同时列出每个分段的独立时长。由此，事件日期负责定位数据分区，毫秒时间戳负责对齐采样，用户窗口决定分析边界，训练分段提供战术或任务情境[10]。</w:t>
      </w:r>
    </w:p>
    <w:p w14:paraId="595DFA91">
      <w:pPr>
        <w:keepNext/>
        <w:keepLines w:val="0"/>
        <w:widowControl/>
        <w:spacing w:before="0" w:after="0" w:line="400" w:lineRule="exact"/>
        <w:ind w:firstLine="0"/>
        <w:jc w:val="both"/>
        <w:rPr>
          <w:rFonts w:ascii="Times New Roman" w:hAnsi="Times New Roman" w:eastAsia="Songti SC"/>
          <w:b/>
          <w:sz w:val="24"/>
        </w:rPr>
      </w:pPr>
    </w:p>
    <w:p w14:paraId="47C07936">
      <w:pPr>
        <w:keepNext/>
        <w:keepLines w:val="0"/>
        <w:widowControl/>
        <w:spacing w:before="0" w:after="0" w:line="400" w:lineRule="exact"/>
        <w:ind w:firstLine="0"/>
        <w:jc w:val="both"/>
      </w:pPr>
      <w:r>
        <w:rPr>
          <w:rFonts w:ascii="Times New Roman" w:hAnsi="Times New Roman" w:eastAsia="Songti SC"/>
          <w:b/>
          <w:sz w:val="24"/>
        </w:rPr>
        <w:t>2.4 表现评估框架与统计分析</w:t>
      </w:r>
    </w:p>
    <w:p w14:paraId="4D0CCA64">
      <w:pPr>
        <w:keepLines w:val="0"/>
        <w:widowControl/>
        <w:spacing w:before="0" w:after="0" w:line="400" w:lineRule="exact"/>
        <w:ind w:firstLine="480"/>
        <w:jc w:val="both"/>
      </w:pPr>
      <w:r>
        <w:rPr>
          <w:rFonts w:ascii="Times New Roman" w:hAnsi="Times New Roman" w:eastAsia="Songti SC"/>
          <w:b w:val="0"/>
          <w:sz w:val="24"/>
        </w:rPr>
        <w:t>事件按球队和日期与设备日记录关联；同一球队同日多条事件只计为1个事件日期，但保留训练或比赛类型。event_type=1定义为比赛，其余历史值归为训练。完成训练或比赛标签关联的球员日进入情境比较，其余日期进入个人纵向外部负荷记录。GNSS指标均按有效坐标计算，空值不以零填充。</w:t>
      </w:r>
    </w:p>
    <w:p w14:paraId="1C5221C2">
      <w:pPr>
        <w:keepLines w:val="0"/>
        <w:widowControl/>
        <w:spacing w:before="0" w:after="0" w:line="400" w:lineRule="exact"/>
        <w:ind w:firstLine="480"/>
        <w:jc w:val="both"/>
      </w:pPr>
      <w:r>
        <w:rPr>
          <w:rFonts w:ascii="Times New Roman" w:hAnsi="Times New Roman" w:eastAsia="Songti SC"/>
          <w:b w:val="0"/>
          <w:sz w:val="24"/>
        </w:rPr>
        <w:t>表现评估采用“总量—强度—情境”三级框架。总量以有效时长和总距离表示，强度以距离密度和GNSS高速跑占比表示，情境通过同一球员的历史中位数、训练—比赛记录或同类事件比较。评估输出保留当前值、参照值和差值，不将所有指标合成为单一分数；总距离增加表示暴露量增加，只有在相近时间窗和任务条件下，强度变化才具有可比意义。团队值须达到80%名单覆盖标准，其他日期用于个人或位置组分析。</w:t>
      </w:r>
    </w:p>
    <w:p w14:paraId="270737E6">
      <w:pPr>
        <w:keepLines w:val="0"/>
        <w:widowControl/>
        <w:spacing w:before="0" w:after="0" w:line="400" w:lineRule="exact"/>
        <w:ind w:firstLine="480"/>
        <w:jc w:val="both"/>
      </w:pPr>
      <w:r>
        <w:rPr>
          <w:rFonts w:ascii="Times New Roman" w:hAnsi="Times New Roman" w:eastAsia="Songti SC"/>
          <w:b w:val="0"/>
          <w:sz w:val="24"/>
        </w:rPr>
        <w:t>连续变量采用中位数（Q1，Q3）描述。考虑球员日嵌套于球员，跨梯队比较先对每名球员全部有效记录取个体中位数，再以球员为统计单位。组间探索采用Kruskal-Wallis H统计量，并通过20 000次梯队标签置换获得置换P值和ε²；由于球队与梯队完全共线，该分析只描述样本分布，不估计年龄效应。U15组先分别计算每名球员的训练中位数和比赛中位数，再计算球员内差值；以球员为重采样单位实施10 000次百分位Bootstrap，报告中位差及95%置信区间。</w:t>
      </w:r>
    </w:p>
    <w:p w14:paraId="6FE6E2A3">
      <w:pPr>
        <w:keepNext/>
        <w:spacing w:before="40" w:after="100"/>
        <w:jc w:val="center"/>
        <w:rPr>
          <w:rFonts w:ascii="Times New Roman" w:hAnsi="Times New Roman" w:eastAsia="Songti SC"/>
          <w:b w:val="0"/>
          <w:sz w:val="21"/>
        </w:rPr>
      </w:pPr>
    </w:p>
    <w:p w14:paraId="45558FC1">
      <w:pPr>
        <w:keepNext/>
        <w:spacing w:before="40" w:after="100"/>
        <w:jc w:val="center"/>
      </w:pPr>
      <w:r>
        <w:rPr>
          <w:rFonts w:ascii="Times New Roman" w:hAnsi="Times New Roman" w:eastAsia="Songti SC"/>
          <w:b w:val="0"/>
          <w:sz w:val="21"/>
        </w:rPr>
        <w:t>表3  数据纳入与分析阈值</w:t>
      </w:r>
    </w:p>
    <w:tbl>
      <w:tblPr>
        <w:tblStyle w:val="32"/>
        <w:tblW w:w="0" w:type="auto"/>
        <w:jc w:val="center"/>
        <w:tblBorders>
          <w:top w:val="single" w:color="000000" w:sz="12" w:space="0"/>
          <w:left w:val="none" w:color="auto" w:sz="0" w:space="0"/>
          <w:bottom w:val="single" w:color="000000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9"/>
        <w:gridCol w:w="2239"/>
        <w:gridCol w:w="2239"/>
        <w:gridCol w:w="2239"/>
      </w:tblGrid>
      <w:tr w14:paraId="1C9CA7E0">
        <w:trPr>
          <w:tblHeader/>
          <w:jc w:val="center"/>
        </w:trPr>
        <w:tc>
          <w:tcPr>
            <w:tcW w:w="1984" w:type="dxa"/>
            <w:tcBorders>
              <w:bottom w:val="single" w:color="000000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3409D0">
            <w:pPr>
              <w:spacing w:line="300" w:lineRule="exact"/>
              <w:jc w:val="center"/>
            </w:pPr>
            <w:r>
              <w:rPr>
                <w:rFonts w:ascii="Times New Roman" w:hAnsi="Times New Roman" w:eastAsia="Songti SC"/>
                <w:b/>
                <w:sz w:val="19"/>
              </w:rPr>
              <w:t>分析项目</w:t>
            </w:r>
          </w:p>
        </w:tc>
        <w:tc>
          <w:tcPr>
            <w:tcW w:w="1474" w:type="dxa"/>
            <w:tcBorders>
              <w:bottom w:val="single" w:color="000000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43F3A5">
            <w:pPr>
              <w:spacing w:line="300" w:lineRule="exact"/>
              <w:jc w:val="center"/>
            </w:pPr>
            <w:r>
              <w:rPr>
                <w:rFonts w:ascii="Times New Roman" w:hAnsi="Times New Roman" w:eastAsia="Songti SC"/>
                <w:b/>
                <w:sz w:val="19"/>
              </w:rPr>
              <w:t>阈值</w:t>
            </w:r>
          </w:p>
        </w:tc>
        <w:tc>
          <w:tcPr>
            <w:tcW w:w="4592" w:type="dxa"/>
            <w:tcBorders>
              <w:bottom w:val="single" w:color="000000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AF18A0">
            <w:pPr>
              <w:spacing w:line="300" w:lineRule="exact"/>
              <w:jc w:val="center"/>
            </w:pPr>
            <w:r>
              <w:rPr>
                <w:rFonts w:ascii="Times New Roman" w:hAnsi="Times New Roman" w:eastAsia="Songti SC"/>
                <w:b/>
                <w:sz w:val="19"/>
              </w:rPr>
              <w:t>设定依据</w:t>
            </w:r>
          </w:p>
        </w:tc>
        <w:tc>
          <w:tcPr>
            <w:tcW w:w="2268" w:type="dxa"/>
            <w:tcBorders>
              <w:bottom w:val="single" w:color="000000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DDDE32">
            <w:pPr>
              <w:spacing w:line="300" w:lineRule="exact"/>
              <w:jc w:val="center"/>
            </w:pPr>
            <w:r>
              <w:rPr>
                <w:rFonts w:ascii="Times New Roman" w:hAnsi="Times New Roman" w:eastAsia="Songti SC"/>
                <w:b/>
                <w:sz w:val="19"/>
              </w:rPr>
              <w:t>使用方式</w:t>
            </w:r>
          </w:p>
        </w:tc>
      </w:tr>
      <w:tr w14:paraId="4ED632FA">
        <w:trPr>
          <w:cantSplit/>
          <w:jc w:val="center"/>
        </w:trPr>
        <w:tc>
          <w:tcPr>
            <w:tcW w:w="1984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233C8CDE">
            <w:pPr>
              <w:spacing w:line="300" w:lineRule="exact"/>
              <w:jc w:val="center"/>
            </w:pPr>
            <w:r>
              <w:rPr>
                <w:rFonts w:ascii="Times New Roman" w:hAnsi="Times New Roman" w:eastAsia="Songti SC"/>
                <w:b w:val="0"/>
                <w:sz w:val="19"/>
              </w:rPr>
              <w:t>球员日总距离</w:t>
            </w:r>
          </w:p>
        </w:tc>
        <w:tc>
          <w:tcPr>
            <w:tcW w:w="1474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7DE351CE">
            <w:pPr>
              <w:spacing w:line="300" w:lineRule="exact"/>
              <w:jc w:val="center"/>
            </w:pPr>
            <w:r>
              <w:rPr>
                <w:rFonts w:ascii="Times New Roman" w:hAnsi="Times New Roman" w:eastAsia="Songti SC"/>
                <w:b w:val="0"/>
                <w:sz w:val="19"/>
              </w:rPr>
              <w:t>≥500 m</w:t>
            </w:r>
          </w:p>
        </w:tc>
        <w:tc>
          <w:tcPr>
            <w:tcW w:w="4592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229010A1">
            <w:pPr>
              <w:spacing w:line="300" w:lineRule="exact"/>
              <w:jc w:val="center"/>
            </w:pPr>
            <w:r>
              <w:rPr>
                <w:rFonts w:ascii="Times New Roman" w:hAnsi="Times New Roman" w:eastAsia="Songti SC"/>
                <w:b w:val="0"/>
                <w:sz w:val="19"/>
              </w:rPr>
              <w:t>项目工程经验：排除开机、短测与不完整暴露</w:t>
            </w:r>
          </w:p>
        </w:tc>
        <w:tc>
          <w:tcPr>
            <w:tcW w:w="2268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43F65F57">
            <w:pPr>
              <w:spacing w:line="300" w:lineRule="exact"/>
              <w:jc w:val="center"/>
            </w:pPr>
            <w:r>
              <w:rPr>
                <w:rFonts w:ascii="Times New Roman" w:hAnsi="Times New Roman" w:eastAsia="Songti SC"/>
                <w:b w:val="0"/>
                <w:sz w:val="19"/>
              </w:rPr>
              <w:t>另检验300/800 m</w:t>
            </w:r>
          </w:p>
        </w:tc>
      </w:tr>
      <w:tr w14:paraId="3F955D7C">
        <w:trPr>
          <w:cantSplit/>
          <w:jc w:val="center"/>
        </w:trPr>
        <w:tc>
          <w:tcPr>
            <w:tcW w:w="1984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628A3ABB">
            <w:pPr>
              <w:spacing w:line="300" w:lineRule="exact"/>
              <w:jc w:val="center"/>
            </w:pPr>
            <w:r>
              <w:rPr>
                <w:rFonts w:ascii="Times New Roman" w:hAnsi="Times New Roman" w:eastAsia="Songti SC"/>
                <w:b w:val="0"/>
                <w:sz w:val="19"/>
              </w:rPr>
              <w:t>团队覆盖率</w:t>
            </w:r>
          </w:p>
        </w:tc>
        <w:tc>
          <w:tcPr>
            <w:tcW w:w="1474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412FF71E">
            <w:pPr>
              <w:spacing w:line="300" w:lineRule="exact"/>
              <w:jc w:val="center"/>
            </w:pPr>
            <w:r>
              <w:rPr>
                <w:rFonts w:ascii="Times New Roman" w:hAnsi="Times New Roman" w:eastAsia="Songti SC"/>
                <w:b w:val="0"/>
                <w:sz w:val="19"/>
              </w:rPr>
              <w:t>≥80%</w:t>
            </w:r>
          </w:p>
        </w:tc>
        <w:tc>
          <w:tcPr>
            <w:tcW w:w="4592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2677A19C">
            <w:pPr>
              <w:spacing w:line="300" w:lineRule="exact"/>
              <w:jc w:val="center"/>
            </w:pPr>
            <w:r>
              <w:rPr>
                <w:rFonts w:ascii="Times New Roman" w:hAnsi="Times New Roman" w:eastAsia="Songti SC"/>
                <w:b w:val="0"/>
                <w:sz w:val="19"/>
              </w:rPr>
              <w:t>业务要求：至少覆盖五分之四应到场名单</w:t>
            </w:r>
          </w:p>
        </w:tc>
        <w:tc>
          <w:tcPr>
            <w:tcW w:w="2268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1BDE1A58">
            <w:pPr>
              <w:spacing w:line="300" w:lineRule="exact"/>
              <w:jc w:val="center"/>
            </w:pPr>
            <w:r>
              <w:rPr>
                <w:rFonts w:ascii="Times New Roman" w:hAnsi="Times New Roman" w:eastAsia="Songti SC"/>
                <w:b w:val="0"/>
                <w:sz w:val="19"/>
              </w:rPr>
              <w:t>低于阈值仅输出个人</w:t>
            </w:r>
          </w:p>
        </w:tc>
      </w:tr>
      <w:tr w14:paraId="4C9ABAF3">
        <w:trPr>
          <w:cantSplit/>
          <w:jc w:val="center"/>
        </w:trPr>
        <w:tc>
          <w:tcPr>
            <w:tcW w:w="1984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7D9A3CFD">
            <w:pPr>
              <w:spacing w:line="300" w:lineRule="exact"/>
              <w:jc w:val="center"/>
            </w:pPr>
            <w:r>
              <w:rPr>
                <w:rFonts w:ascii="Times New Roman" w:hAnsi="Times New Roman" w:eastAsia="Songti SC"/>
                <w:b w:val="0"/>
                <w:sz w:val="19"/>
              </w:rPr>
              <w:t>GNSS有效率</w:t>
            </w:r>
          </w:p>
        </w:tc>
        <w:tc>
          <w:tcPr>
            <w:tcW w:w="1474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79D3C7E4">
            <w:pPr>
              <w:spacing w:line="300" w:lineRule="exact"/>
              <w:jc w:val="center"/>
            </w:pPr>
            <w:r>
              <w:rPr>
                <w:rFonts w:ascii="Times New Roman" w:hAnsi="Times New Roman" w:eastAsia="Songti SC"/>
                <w:b w:val="0"/>
                <w:sz w:val="19"/>
              </w:rPr>
              <w:t>≥90%</w:t>
            </w:r>
          </w:p>
        </w:tc>
        <w:tc>
          <w:tcPr>
            <w:tcW w:w="4592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54683CA0">
            <w:pPr>
              <w:spacing w:line="300" w:lineRule="exact"/>
              <w:jc w:val="center"/>
            </w:pPr>
            <w:r>
              <w:rPr>
                <w:rFonts w:ascii="Times New Roman" w:hAnsi="Times New Roman" w:eastAsia="Songti SC"/>
                <w:b w:val="0"/>
                <w:sz w:val="19"/>
              </w:rPr>
              <w:t>项目数据分布与轨迹连续性要求</w:t>
            </w:r>
          </w:p>
        </w:tc>
        <w:tc>
          <w:tcPr>
            <w:tcW w:w="2268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455D4673">
            <w:pPr>
              <w:spacing w:line="300" w:lineRule="exact"/>
              <w:jc w:val="center"/>
            </w:pPr>
            <w:r>
              <w:rPr>
                <w:rFonts w:ascii="Times New Roman" w:hAnsi="Times New Roman" w:eastAsia="Songti SC"/>
                <w:b w:val="0"/>
                <w:sz w:val="19"/>
              </w:rPr>
              <w:t>用于确认轨迹完整性</w:t>
            </w:r>
          </w:p>
        </w:tc>
      </w:tr>
      <w:tr w14:paraId="3B20A622">
        <w:trPr>
          <w:cantSplit/>
          <w:jc w:val="center"/>
        </w:trPr>
        <w:tc>
          <w:tcPr>
            <w:tcW w:w="1984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69EFCE99">
            <w:pPr>
              <w:spacing w:line="300" w:lineRule="exact"/>
              <w:jc w:val="center"/>
            </w:pPr>
            <w:r>
              <w:rPr>
                <w:rFonts w:ascii="Times New Roman" w:hAnsi="Times New Roman" w:eastAsia="Songti SC"/>
                <w:b w:val="0"/>
                <w:sz w:val="19"/>
              </w:rPr>
              <w:t>采样连续性</w:t>
            </w:r>
          </w:p>
        </w:tc>
        <w:tc>
          <w:tcPr>
            <w:tcW w:w="1474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584A7ADC">
            <w:pPr>
              <w:spacing w:line="300" w:lineRule="exact"/>
              <w:jc w:val="center"/>
            </w:pPr>
            <w:r>
              <w:rPr>
                <w:rFonts w:ascii="Times New Roman" w:hAnsi="Times New Roman" w:eastAsia="Songti SC"/>
                <w:b w:val="0"/>
                <w:sz w:val="19"/>
              </w:rPr>
              <w:t>中位间隔0.5-1.5 s</w:t>
            </w:r>
          </w:p>
        </w:tc>
        <w:tc>
          <w:tcPr>
            <w:tcW w:w="4592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3C989018">
            <w:pPr>
              <w:spacing w:line="300" w:lineRule="exact"/>
              <w:jc w:val="center"/>
            </w:pPr>
            <w:r>
              <w:rPr>
                <w:rFonts w:ascii="Times New Roman" w:hAnsi="Times New Roman" w:eastAsia="Songti SC"/>
                <w:b w:val="0"/>
                <w:sz w:val="19"/>
              </w:rPr>
              <w:t>终端采样配置与时间序列要求</w:t>
            </w:r>
          </w:p>
        </w:tc>
        <w:tc>
          <w:tcPr>
            <w:tcW w:w="2268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1666CC14">
            <w:pPr>
              <w:spacing w:line="300" w:lineRule="exact"/>
              <w:jc w:val="center"/>
            </w:pPr>
            <w:r>
              <w:rPr>
                <w:rFonts w:ascii="Times New Roman" w:hAnsi="Times New Roman" w:eastAsia="Songti SC"/>
                <w:b w:val="0"/>
                <w:sz w:val="19"/>
              </w:rPr>
              <w:t>用于区间速度计算</w:t>
            </w:r>
          </w:p>
        </w:tc>
      </w:tr>
      <w:tr w14:paraId="25445318">
        <w:trPr>
          <w:cantSplit/>
          <w:jc w:val="center"/>
        </w:trPr>
        <w:tc>
          <w:tcPr>
            <w:tcW w:w="1984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6F7C3B9B">
            <w:pPr>
              <w:spacing w:line="300" w:lineRule="exact"/>
              <w:jc w:val="center"/>
            </w:pPr>
            <w:r>
              <w:rPr>
                <w:rFonts w:ascii="Times New Roman" w:hAnsi="Times New Roman" w:eastAsia="Songti SC"/>
                <w:b w:val="0"/>
                <w:sz w:val="19"/>
              </w:rPr>
              <w:t>相邻点间隔</w:t>
            </w:r>
          </w:p>
        </w:tc>
        <w:tc>
          <w:tcPr>
            <w:tcW w:w="1474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39CF5F84">
            <w:pPr>
              <w:spacing w:line="300" w:lineRule="exact"/>
              <w:jc w:val="center"/>
            </w:pPr>
            <w:r>
              <w:rPr>
                <w:rFonts w:ascii="Times New Roman" w:hAnsi="Times New Roman" w:eastAsia="Songti SC"/>
                <w:b w:val="0"/>
                <w:sz w:val="19"/>
              </w:rPr>
              <w:t>≤5 s</w:t>
            </w:r>
          </w:p>
        </w:tc>
        <w:tc>
          <w:tcPr>
            <w:tcW w:w="4592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4E4D88D2">
            <w:pPr>
              <w:spacing w:line="300" w:lineRule="exact"/>
              <w:jc w:val="center"/>
            </w:pPr>
            <w:r>
              <w:rPr>
                <w:rFonts w:ascii="Times New Roman" w:hAnsi="Times New Roman" w:eastAsia="Songti SC"/>
                <w:b w:val="0"/>
                <w:sz w:val="19"/>
              </w:rPr>
              <w:t>避免将长时空档计入运动距离</w:t>
            </w:r>
          </w:p>
        </w:tc>
        <w:tc>
          <w:tcPr>
            <w:tcW w:w="2268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006D7C70">
            <w:pPr>
              <w:spacing w:line="300" w:lineRule="exact"/>
              <w:jc w:val="center"/>
            </w:pPr>
            <w:r>
              <w:rPr>
                <w:rFonts w:ascii="Times New Roman" w:hAnsi="Times New Roman" w:eastAsia="Songti SC"/>
                <w:b w:val="0"/>
                <w:sz w:val="19"/>
              </w:rPr>
              <w:t>超出部分不累计</w:t>
            </w:r>
          </w:p>
        </w:tc>
      </w:tr>
    </w:tbl>
    <w:p w14:paraId="30C4A6DE">
      <w:pPr>
        <w:spacing w:after="0"/>
      </w:pPr>
    </w:p>
    <w:p w14:paraId="17953741">
      <w:pPr>
        <w:keepLines w:val="0"/>
        <w:widowControl/>
        <w:spacing w:before="0" w:after="0" w:line="400" w:lineRule="exact"/>
        <w:ind w:firstLine="480"/>
        <w:jc w:val="both"/>
      </w:pPr>
      <w:r>
        <w:rPr>
          <w:rFonts w:ascii="Times New Roman" w:hAnsi="Times New Roman" w:eastAsia="Songti SC"/>
          <w:b w:val="0"/>
          <w:sz w:val="24"/>
        </w:rPr>
        <w:t>上述阈值用于统一真实训练记录的分析口径，不作为训练处方或医学诊断界值。500 m纳入阈值的稳健性通过300 m和800 m替代值检验；GNSS轨迹按相同规则生成距离、距离密度和高速跑指标。</w:t>
      </w:r>
    </w:p>
    <w:p w14:paraId="49CC1B0E">
      <w:pPr>
        <w:keepNext/>
        <w:keepLines w:val="0"/>
        <w:widowControl/>
        <w:spacing w:before="0" w:after="0" w:line="400" w:lineRule="exact"/>
        <w:ind w:firstLine="0"/>
        <w:jc w:val="both"/>
        <w:rPr>
          <w:rFonts w:ascii="Times New Roman" w:hAnsi="Times New Roman" w:eastAsia="Songti SC"/>
          <w:b/>
          <w:sz w:val="24"/>
        </w:rPr>
      </w:pPr>
    </w:p>
    <w:p w14:paraId="5DB24795">
      <w:pPr>
        <w:keepNext/>
        <w:keepLines w:val="0"/>
        <w:widowControl/>
        <w:spacing w:before="0" w:after="0" w:line="400" w:lineRule="exact"/>
        <w:ind w:firstLine="0"/>
        <w:jc w:val="both"/>
      </w:pPr>
      <w:r>
        <w:rPr>
          <w:rFonts w:ascii="Times New Roman" w:hAnsi="Times New Roman" w:eastAsia="Songti SC"/>
          <w:b/>
          <w:sz w:val="24"/>
        </w:rPr>
        <w:t>2.5 伦理与数据授权</w:t>
      </w:r>
    </w:p>
    <w:p w14:paraId="61C9257B">
      <w:pPr>
        <w:keepLines w:val="0"/>
        <w:widowControl/>
        <w:spacing w:before="0" w:after="0" w:line="400" w:lineRule="exact"/>
        <w:ind w:firstLine="480"/>
        <w:jc w:val="both"/>
      </w:pPr>
      <w:r>
        <w:rPr>
          <w:rFonts w:ascii="Times New Roman" w:hAnsi="Times New Roman" w:eastAsia="Songti SC"/>
          <w:b w:val="0"/>
          <w:sz w:val="24"/>
        </w:rPr>
        <w:t>本研究使用合作球队日常训练和比赛中形成的回顾性数据，不新增训练干预或生物样本采集。数据使用已获得数据提供方和平台运营方授权；研究人员仅接触删除姓名、号码、出生日期、联系方式、设备序列号和账号标识后的匿名编号，分析结果不用于医学诊断、选材淘汰或公开球员排名。</w:t>
      </w:r>
    </w:p>
    <w:p w14:paraId="27CF8943">
      <w:pPr>
        <w:keepNext/>
        <w:keepLines w:val="0"/>
        <w:widowControl/>
        <w:spacing w:before="0" w:after="0" w:line="400" w:lineRule="exact"/>
        <w:ind w:firstLine="0"/>
        <w:jc w:val="both"/>
        <w:rPr>
          <w:rFonts w:ascii="Times New Roman" w:hAnsi="Times New Roman" w:eastAsia="Songti SC"/>
          <w:b/>
          <w:sz w:val="24"/>
        </w:rPr>
      </w:pPr>
    </w:p>
    <w:p w14:paraId="35FD21B8">
      <w:pPr>
        <w:keepNext/>
        <w:keepLines w:val="0"/>
        <w:widowControl/>
        <w:spacing w:before="0" w:after="0" w:line="400" w:lineRule="exact"/>
        <w:ind w:firstLine="0"/>
        <w:jc w:val="both"/>
      </w:pPr>
      <w:r>
        <w:rPr>
          <w:rFonts w:ascii="Times New Roman" w:hAnsi="Times New Roman" w:eastAsia="Songti SC"/>
          <w:b/>
          <w:sz w:val="24"/>
        </w:rPr>
        <w:t>3. ATHLOS训练监测与表现评估实现</w:t>
      </w:r>
    </w:p>
    <w:p w14:paraId="062DBD14">
      <w:pPr>
        <w:keepNext/>
        <w:keepLines w:val="0"/>
        <w:widowControl/>
        <w:spacing w:before="0" w:after="0" w:line="400" w:lineRule="exact"/>
        <w:ind w:firstLine="0"/>
        <w:jc w:val="both"/>
      </w:pPr>
      <w:r>
        <w:rPr>
          <w:rFonts w:ascii="Times New Roman" w:hAnsi="Times New Roman" w:eastAsia="Songti SC"/>
          <w:b/>
          <w:sz w:val="24"/>
        </w:rPr>
        <w:t>3.1 设备接入、时间链与指标组织</w:t>
      </w:r>
    </w:p>
    <w:p w14:paraId="06B0B262">
      <w:pPr>
        <w:keepLines w:val="0"/>
        <w:widowControl/>
        <w:spacing w:before="0" w:after="0" w:line="400" w:lineRule="exact"/>
        <w:ind w:firstLine="480"/>
        <w:jc w:val="both"/>
      </w:pPr>
      <w:r>
        <w:rPr>
          <w:rFonts w:ascii="Times New Roman" w:hAnsi="Times New Roman" w:eastAsia="Songti SC"/>
          <w:b w:val="0"/>
          <w:sz w:val="24"/>
        </w:rPr>
        <w:t>设备接入层完成身份校验、协议解析和重传去重，并双轨保存原始报文与标准化记录。接收时间、设备身份、启动批次和算法版本随记录保留，使任一报告值能够沿“报告指标—计算规则—GNSS轨迹—采样时间—设备身份”反向追溯[10]。具体通信与缓存实现被封装在接入层，不改变用户窗口和训练分段的业务口径。</w:t>
      </w:r>
    </w:p>
    <w:p w14:paraId="01072145">
      <w:pPr>
        <w:keepLines w:val="0"/>
        <w:widowControl/>
        <w:spacing w:before="0" w:after="0" w:line="400" w:lineRule="exact"/>
        <w:ind w:firstLine="480"/>
        <w:jc w:val="both"/>
      </w:pPr>
      <w:r>
        <w:rPr>
          <w:rFonts w:ascii="Times New Roman" w:hAnsi="Times New Roman" w:eastAsia="Songti SC"/>
          <w:b w:val="0"/>
          <w:sz w:val="24"/>
        </w:rPr>
        <w:t>事件模型把名单、设备、事件日期、用户总窗口、训练分段、球员子窗口和场地连接到同一业务对象。GNSS记录先按日期和设备定位，再按球员区间切片；报告保存事件、分段、指标算法和参照记录，使结果能够对应到明确球员、训练任务和时间片段。仅完成日期关联的设备日进入个人纵向记录，具备训练或比赛标签的记录进一步用于情境比较。</w:t>
      </w:r>
    </w:p>
    <w:p w14:paraId="575F4B56">
      <w:pPr>
        <w:keepNext/>
        <w:keepLines w:val="0"/>
        <w:widowControl/>
        <w:spacing w:before="0" w:after="0" w:line="400" w:lineRule="exact"/>
        <w:ind w:firstLine="0"/>
        <w:jc w:val="both"/>
        <w:rPr>
          <w:rFonts w:ascii="Times New Roman" w:hAnsi="Times New Roman" w:eastAsia="Songti SC"/>
          <w:b/>
          <w:sz w:val="24"/>
        </w:rPr>
      </w:pPr>
    </w:p>
    <w:p w14:paraId="517DAB0A">
      <w:pPr>
        <w:keepNext/>
        <w:keepLines w:val="0"/>
        <w:widowControl/>
        <w:spacing w:before="0" w:after="0" w:line="400" w:lineRule="exact"/>
        <w:ind w:firstLine="0"/>
        <w:jc w:val="both"/>
      </w:pPr>
      <w:r>
        <w:rPr>
          <w:rFonts w:ascii="Times New Roman" w:hAnsi="Times New Roman" w:eastAsia="Songti SC"/>
          <w:b/>
          <w:sz w:val="24"/>
        </w:rPr>
        <w:t>3.2 多维表现评估与报告反馈</w:t>
      </w:r>
    </w:p>
    <w:p w14:paraId="4ED02361">
      <w:pPr>
        <w:keepLines w:val="0"/>
        <w:widowControl/>
        <w:spacing w:before="0" w:after="0" w:line="400" w:lineRule="exact"/>
        <w:ind w:firstLine="480"/>
        <w:jc w:val="both"/>
      </w:pPr>
      <w:r>
        <w:rPr>
          <w:rFonts w:ascii="Times New Roman" w:hAnsi="Times New Roman" w:eastAsia="Songti SC"/>
          <w:b w:val="0"/>
          <w:sz w:val="24"/>
        </w:rPr>
        <w:t>平台生成训练简报和完整报告，按事件日期、用户窗口和D1至Dn分段展示球员轨迹、总距离、距离密度、高速跑、活动热区及历史比较。比较功能呈现当前值、个人历史中位数、变化幅度和位置任务标签。差值方向统一表述为“增加/减少”，再由教练结合训练目标解释为容量、强度或任务结构变化。</w:t>
      </w:r>
    </w:p>
    <w:p w14:paraId="377E72CC">
      <w:pPr>
        <w:keepNext/>
        <w:jc w:val="center"/>
      </w:pPr>
      <w:r>
        <w:drawing>
          <wp:inline distT="0" distB="0" distL="114300" distR="114300">
            <wp:extent cx="5806440" cy="2150110"/>
            <wp:effectExtent l="0" t="0" r="10160" b="889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06440" cy="2150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7D8C79">
      <w:pPr>
        <w:spacing w:before="40" w:after="100"/>
        <w:jc w:val="center"/>
      </w:pPr>
      <w:r>
        <w:rPr>
          <w:rFonts w:ascii="Times New Roman" w:hAnsi="Times New Roman" w:eastAsia="Songti SC"/>
          <w:b w:val="0"/>
          <w:sz w:val="21"/>
        </w:rPr>
        <w:t>图3  ATHLOS时间切片与表现评估流程</w:t>
      </w:r>
    </w:p>
    <w:p w14:paraId="34499B7B">
      <w:pPr>
        <w:keepNext/>
        <w:keepLines w:val="0"/>
        <w:widowControl/>
        <w:spacing w:before="0" w:after="0" w:line="400" w:lineRule="exact"/>
        <w:ind w:firstLine="0"/>
        <w:jc w:val="both"/>
        <w:rPr>
          <w:rFonts w:ascii="Times New Roman" w:hAnsi="Times New Roman" w:eastAsia="Songti SC"/>
          <w:b/>
          <w:sz w:val="24"/>
        </w:rPr>
      </w:pPr>
    </w:p>
    <w:p w14:paraId="6CB4449F">
      <w:pPr>
        <w:keepNext/>
        <w:keepLines w:val="0"/>
        <w:widowControl/>
        <w:spacing w:before="0" w:after="0" w:line="400" w:lineRule="exact"/>
        <w:ind w:firstLine="0"/>
        <w:jc w:val="both"/>
      </w:pPr>
      <w:r>
        <w:rPr>
          <w:rFonts w:ascii="Times New Roman" w:hAnsi="Times New Roman" w:eastAsia="Songti SC"/>
          <w:b/>
          <w:sz w:val="24"/>
        </w:rPr>
        <w:t>3.3 GNSS指标计算与报告输出</w:t>
      </w:r>
    </w:p>
    <w:p w14:paraId="157DCAD2">
      <w:pPr>
        <w:keepLines w:val="0"/>
        <w:widowControl/>
        <w:spacing w:before="0" w:after="0" w:line="400" w:lineRule="exact"/>
        <w:ind w:firstLine="480"/>
        <w:jc w:val="both"/>
      </w:pPr>
      <w:r>
        <w:rPr>
          <w:rFonts w:ascii="Times New Roman" w:hAnsi="Times New Roman" w:eastAsia="Songti SC"/>
          <w:b w:val="0"/>
          <w:sz w:val="24"/>
        </w:rPr>
        <w:t>报告程序读取应到名单和用户窗口，计算团队覆盖率，检查GNSS采样间隔与定位有效率，再按统一轨迹规则生成总距离、距离密度、速度区间、高速跑占比和活动热区。个人报告优先与该球员同类历史记录比较；位置组报告在相同任务下汇总；团队报告在覆盖率达到80%时生成。由此形成个人—位置组—团队三级输出。</w:t>
      </w:r>
    </w:p>
    <w:p w14:paraId="56F6F808">
      <w:r>
        <w:br w:type="page"/>
      </w:r>
    </w:p>
    <w:p w14:paraId="481C5978">
      <w:pPr>
        <w:keepNext/>
        <w:keepLines w:val="0"/>
        <w:widowControl/>
        <w:spacing w:before="0" w:after="0" w:line="400" w:lineRule="exact"/>
        <w:ind w:firstLine="0"/>
        <w:jc w:val="both"/>
      </w:pPr>
      <w:r>
        <w:rPr>
          <w:rFonts w:ascii="Times New Roman" w:hAnsi="Times New Roman" w:eastAsia="Songti SC"/>
          <w:b/>
          <w:sz w:val="24"/>
        </w:rPr>
        <w:t>4. 结果</w:t>
      </w:r>
    </w:p>
    <w:p w14:paraId="68C38564">
      <w:pPr>
        <w:keepNext/>
        <w:keepLines w:val="0"/>
        <w:widowControl/>
        <w:spacing w:before="0" w:after="0" w:line="400" w:lineRule="exact"/>
        <w:ind w:firstLine="0"/>
        <w:jc w:val="both"/>
      </w:pPr>
      <w:r>
        <w:rPr>
          <w:rFonts w:ascii="Times New Roman" w:hAnsi="Times New Roman" w:eastAsia="Songti SC"/>
          <w:b/>
          <w:sz w:val="24"/>
        </w:rPr>
        <w:t>4.1 监测记录的情境可评估性与团队覆盖</w:t>
      </w:r>
    </w:p>
    <w:p w14:paraId="656D84B0">
      <w:pPr>
        <w:keepLines w:val="0"/>
        <w:widowControl/>
        <w:spacing w:before="0" w:after="0" w:line="400" w:lineRule="exact"/>
        <w:ind w:firstLine="480"/>
        <w:jc w:val="both"/>
      </w:pPr>
      <w:r>
        <w:rPr>
          <w:rFonts w:ascii="Times New Roman" w:hAnsi="Times New Roman" w:eastAsia="Songti SC"/>
          <w:b w:val="0"/>
          <w:sz w:val="24"/>
        </w:rPr>
        <w:t>20条事件记录去重后对应15个事件日期，其中训练型事件13条、比赛7条。343个有效球员日中，47个关联训练、93个关联比赛，共140个进入训练—比赛情境比较；其余203个作为个人纵向外部负荷记录。由此，全部球员日均进入个人监测，具备明确事件标签的记录进一步用于同类情境比较。</w:t>
      </w:r>
    </w:p>
    <w:p w14:paraId="6D95EC62">
      <w:pPr>
        <w:keepNext/>
        <w:spacing w:before="40" w:after="100"/>
        <w:jc w:val="center"/>
      </w:pPr>
      <w:r>
        <w:rPr>
          <w:rFonts w:ascii="Times New Roman" w:hAnsi="Times New Roman" w:eastAsia="Songti SC"/>
          <w:b w:val="0"/>
          <w:sz w:val="21"/>
        </w:rPr>
        <w:t>表4  各梯队有效日期的团队覆盖率</w:t>
      </w:r>
    </w:p>
    <w:tbl>
      <w:tblPr>
        <w:tblStyle w:val="32"/>
        <w:tblW w:w="0" w:type="auto"/>
        <w:jc w:val="center"/>
        <w:tblBorders>
          <w:top w:val="single" w:color="000000" w:sz="12" w:space="0"/>
          <w:left w:val="none" w:color="auto" w:sz="0" w:space="0"/>
          <w:bottom w:val="single" w:color="000000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2"/>
        <w:gridCol w:w="1792"/>
        <w:gridCol w:w="1792"/>
        <w:gridCol w:w="1792"/>
        <w:gridCol w:w="1792"/>
      </w:tblGrid>
      <w:tr w14:paraId="5951A145">
        <w:trPr>
          <w:tblHeader/>
          <w:jc w:val="center"/>
        </w:trPr>
        <w:tc>
          <w:tcPr>
            <w:tcW w:w="1587" w:type="dxa"/>
            <w:tcBorders>
              <w:bottom w:val="single" w:color="000000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A368E4">
            <w:pPr>
              <w:spacing w:line="300" w:lineRule="exact"/>
              <w:jc w:val="center"/>
            </w:pPr>
            <w:r>
              <w:rPr>
                <w:rFonts w:ascii="Times New Roman" w:hAnsi="Times New Roman" w:eastAsia="Songti SC"/>
                <w:b/>
                <w:sz w:val="21"/>
              </w:rPr>
              <w:t>梯队</w:t>
            </w:r>
          </w:p>
        </w:tc>
        <w:tc>
          <w:tcPr>
            <w:tcW w:w="1587" w:type="dxa"/>
            <w:tcBorders>
              <w:bottom w:val="single" w:color="000000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BA97C2">
            <w:pPr>
              <w:spacing w:line="300" w:lineRule="exact"/>
              <w:jc w:val="center"/>
            </w:pPr>
            <w:r>
              <w:rPr>
                <w:rFonts w:ascii="Times New Roman" w:hAnsi="Times New Roman" w:eastAsia="Songti SC"/>
                <w:b/>
                <w:sz w:val="21"/>
              </w:rPr>
              <w:t>有效日期</w:t>
            </w:r>
          </w:p>
        </w:tc>
        <w:tc>
          <w:tcPr>
            <w:tcW w:w="3572" w:type="dxa"/>
            <w:tcBorders>
              <w:bottom w:val="single" w:color="000000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D1CB06">
            <w:pPr>
              <w:spacing w:line="300" w:lineRule="exact"/>
              <w:jc w:val="center"/>
            </w:pPr>
            <w:r>
              <w:rPr>
                <w:rFonts w:ascii="Times New Roman" w:hAnsi="Times New Roman" w:eastAsia="Songti SC"/>
                <w:b/>
                <w:sz w:val="21"/>
              </w:rPr>
              <w:t>覆盖率中位数（Q1，Q3）/%</w:t>
            </w:r>
          </w:p>
        </w:tc>
        <w:tc>
          <w:tcPr>
            <w:tcW w:w="1928" w:type="dxa"/>
            <w:tcBorders>
              <w:bottom w:val="single" w:color="000000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CB3D42">
            <w:pPr>
              <w:spacing w:line="300" w:lineRule="exact"/>
              <w:jc w:val="center"/>
            </w:pPr>
            <w:r>
              <w:rPr>
                <w:rFonts w:ascii="Times New Roman" w:hAnsi="Times New Roman" w:eastAsia="Songti SC"/>
                <w:b/>
                <w:sz w:val="21"/>
              </w:rPr>
              <w:t>最大覆盖率/%</w:t>
            </w:r>
          </w:p>
        </w:tc>
        <w:tc>
          <w:tcPr>
            <w:tcW w:w="1928" w:type="dxa"/>
            <w:tcBorders>
              <w:bottom w:val="single" w:color="000000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A50611">
            <w:pPr>
              <w:spacing w:line="300" w:lineRule="exact"/>
              <w:jc w:val="center"/>
            </w:pPr>
            <w:r>
              <w:rPr>
                <w:rFonts w:ascii="Times New Roman" w:hAnsi="Times New Roman" w:eastAsia="Songti SC"/>
                <w:b/>
                <w:sz w:val="21"/>
              </w:rPr>
              <w:t>达到80%的日期</w:t>
            </w:r>
          </w:p>
        </w:tc>
      </w:tr>
      <w:tr w14:paraId="690BF084">
        <w:trPr>
          <w:cantSplit/>
          <w:jc w:val="center"/>
        </w:trPr>
        <w:tc>
          <w:tcPr>
            <w:tcW w:w="1587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42EC33C2">
            <w:pPr>
              <w:spacing w:line="300" w:lineRule="exact"/>
              <w:jc w:val="center"/>
            </w:pPr>
            <w:r>
              <w:rPr>
                <w:rFonts w:ascii="Times New Roman" w:hAnsi="Times New Roman" w:eastAsia="Songti SC"/>
                <w:b w:val="0"/>
                <w:sz w:val="21"/>
              </w:rPr>
              <w:t>G1</w:t>
            </w:r>
          </w:p>
        </w:tc>
        <w:tc>
          <w:tcPr>
            <w:tcW w:w="1587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383F8A86">
            <w:pPr>
              <w:spacing w:line="300" w:lineRule="exact"/>
              <w:jc w:val="center"/>
            </w:pPr>
            <w:r>
              <w:rPr>
                <w:rFonts w:ascii="Times New Roman" w:hAnsi="Times New Roman" w:eastAsia="Songti SC"/>
                <w:b w:val="0"/>
                <w:sz w:val="21"/>
              </w:rPr>
              <w:t>12</w:t>
            </w:r>
          </w:p>
        </w:tc>
        <w:tc>
          <w:tcPr>
            <w:tcW w:w="3572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3FB3CB3B">
            <w:pPr>
              <w:spacing w:line="300" w:lineRule="exact"/>
              <w:jc w:val="center"/>
            </w:pPr>
            <w:r>
              <w:rPr>
                <w:rFonts w:ascii="Times New Roman" w:hAnsi="Times New Roman" w:eastAsia="Songti SC"/>
                <w:b w:val="0"/>
                <w:sz w:val="21"/>
              </w:rPr>
              <w:t>9.1（9.1，27.3）</w:t>
            </w:r>
          </w:p>
        </w:tc>
        <w:tc>
          <w:tcPr>
            <w:tcW w:w="1928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3124ED36">
            <w:pPr>
              <w:spacing w:line="300" w:lineRule="exact"/>
              <w:jc w:val="center"/>
            </w:pPr>
            <w:r>
              <w:rPr>
                <w:rFonts w:ascii="Times New Roman" w:hAnsi="Times New Roman" w:eastAsia="Songti SC"/>
                <w:b w:val="0"/>
                <w:sz w:val="21"/>
              </w:rPr>
              <w:t>54.5</w:t>
            </w:r>
          </w:p>
        </w:tc>
        <w:tc>
          <w:tcPr>
            <w:tcW w:w="1928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3A647730">
            <w:pPr>
              <w:spacing w:line="300" w:lineRule="exact"/>
              <w:jc w:val="center"/>
            </w:pPr>
            <w:r>
              <w:rPr>
                <w:rFonts w:ascii="Times New Roman" w:hAnsi="Times New Roman" w:eastAsia="Songti SC"/>
                <w:b w:val="0"/>
                <w:sz w:val="21"/>
              </w:rPr>
              <w:t>0</w:t>
            </w:r>
          </w:p>
        </w:tc>
      </w:tr>
      <w:tr w14:paraId="211A5DDE">
        <w:trPr>
          <w:cantSplit/>
          <w:jc w:val="center"/>
        </w:trPr>
        <w:tc>
          <w:tcPr>
            <w:tcW w:w="1587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622290EE">
            <w:pPr>
              <w:spacing w:line="300" w:lineRule="exact"/>
              <w:jc w:val="center"/>
            </w:pPr>
            <w:r>
              <w:rPr>
                <w:rFonts w:ascii="Times New Roman" w:hAnsi="Times New Roman" w:eastAsia="Songti SC"/>
                <w:b w:val="0"/>
                <w:sz w:val="21"/>
              </w:rPr>
              <w:t>G2 U15</w:t>
            </w:r>
          </w:p>
        </w:tc>
        <w:tc>
          <w:tcPr>
            <w:tcW w:w="1587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7F3280BB">
            <w:pPr>
              <w:spacing w:line="300" w:lineRule="exact"/>
              <w:jc w:val="center"/>
            </w:pPr>
            <w:r>
              <w:rPr>
                <w:rFonts w:ascii="Times New Roman" w:hAnsi="Times New Roman" w:eastAsia="Songti SC"/>
                <w:b w:val="0"/>
                <w:sz w:val="21"/>
              </w:rPr>
              <w:t>20</w:t>
            </w:r>
          </w:p>
        </w:tc>
        <w:tc>
          <w:tcPr>
            <w:tcW w:w="3572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716D0DC5">
            <w:pPr>
              <w:spacing w:line="300" w:lineRule="exact"/>
              <w:jc w:val="center"/>
            </w:pPr>
            <w:r>
              <w:rPr>
                <w:rFonts w:ascii="Times New Roman" w:hAnsi="Times New Roman" w:eastAsia="Songti SC"/>
                <w:b w:val="0"/>
                <w:sz w:val="21"/>
              </w:rPr>
              <w:t>38.5（3.9，80.8）</w:t>
            </w:r>
          </w:p>
        </w:tc>
        <w:tc>
          <w:tcPr>
            <w:tcW w:w="1928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313C4082">
            <w:pPr>
              <w:spacing w:line="300" w:lineRule="exact"/>
              <w:jc w:val="center"/>
            </w:pPr>
            <w:r>
              <w:rPr>
                <w:rFonts w:ascii="Times New Roman" w:hAnsi="Times New Roman" w:eastAsia="Songti SC"/>
                <w:b w:val="0"/>
                <w:sz w:val="21"/>
              </w:rPr>
              <w:t>88.5</w:t>
            </w:r>
          </w:p>
        </w:tc>
        <w:tc>
          <w:tcPr>
            <w:tcW w:w="1928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2EB2CEFA">
            <w:pPr>
              <w:spacing w:line="300" w:lineRule="exact"/>
              <w:jc w:val="center"/>
            </w:pPr>
            <w:r>
              <w:rPr>
                <w:rFonts w:ascii="Times New Roman" w:hAnsi="Times New Roman" w:eastAsia="Songti SC"/>
                <w:b w:val="0"/>
                <w:sz w:val="21"/>
              </w:rPr>
              <w:t>8</w:t>
            </w:r>
          </w:p>
        </w:tc>
      </w:tr>
      <w:tr w14:paraId="1F2F24F7">
        <w:trPr>
          <w:cantSplit/>
          <w:jc w:val="center"/>
        </w:trPr>
        <w:tc>
          <w:tcPr>
            <w:tcW w:w="1587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57CAD205">
            <w:pPr>
              <w:spacing w:line="300" w:lineRule="exact"/>
              <w:jc w:val="center"/>
            </w:pPr>
            <w:r>
              <w:rPr>
                <w:rFonts w:ascii="Times New Roman" w:hAnsi="Times New Roman" w:eastAsia="Songti SC"/>
                <w:b w:val="0"/>
                <w:sz w:val="21"/>
              </w:rPr>
              <w:t>G3 U9/U10</w:t>
            </w:r>
          </w:p>
        </w:tc>
        <w:tc>
          <w:tcPr>
            <w:tcW w:w="1587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7E9426D1">
            <w:pPr>
              <w:spacing w:line="300" w:lineRule="exact"/>
              <w:jc w:val="center"/>
            </w:pPr>
            <w:r>
              <w:rPr>
                <w:rFonts w:ascii="Times New Roman" w:hAnsi="Times New Roman" w:eastAsia="Songti SC"/>
                <w:b w:val="0"/>
                <w:sz w:val="21"/>
              </w:rPr>
              <w:t>7</w:t>
            </w:r>
          </w:p>
        </w:tc>
        <w:tc>
          <w:tcPr>
            <w:tcW w:w="3572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33F8185A">
            <w:pPr>
              <w:spacing w:line="300" w:lineRule="exact"/>
              <w:jc w:val="center"/>
            </w:pPr>
            <w:r>
              <w:rPr>
                <w:rFonts w:ascii="Times New Roman" w:hAnsi="Times New Roman" w:eastAsia="Songti SC"/>
                <w:b w:val="0"/>
                <w:sz w:val="21"/>
              </w:rPr>
              <w:t>46.4（41.1，62.5）</w:t>
            </w:r>
          </w:p>
        </w:tc>
        <w:tc>
          <w:tcPr>
            <w:tcW w:w="1928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750050FB">
            <w:pPr>
              <w:spacing w:line="300" w:lineRule="exact"/>
              <w:jc w:val="center"/>
            </w:pPr>
            <w:r>
              <w:rPr>
                <w:rFonts w:ascii="Times New Roman" w:hAnsi="Times New Roman" w:eastAsia="Songti SC"/>
                <w:b w:val="0"/>
                <w:sz w:val="21"/>
              </w:rPr>
              <w:t>78.6</w:t>
            </w:r>
          </w:p>
        </w:tc>
        <w:tc>
          <w:tcPr>
            <w:tcW w:w="1928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4C910310">
            <w:pPr>
              <w:spacing w:line="300" w:lineRule="exact"/>
              <w:jc w:val="center"/>
            </w:pPr>
            <w:r>
              <w:rPr>
                <w:rFonts w:ascii="Times New Roman" w:hAnsi="Times New Roman" w:eastAsia="Songti SC"/>
                <w:b w:val="0"/>
                <w:sz w:val="21"/>
              </w:rPr>
              <w:t>0</w:t>
            </w:r>
          </w:p>
        </w:tc>
      </w:tr>
    </w:tbl>
    <w:p w14:paraId="0219513F">
      <w:pPr>
        <w:spacing w:after="0"/>
      </w:pPr>
    </w:p>
    <w:p w14:paraId="0F4283B8">
      <w:pPr>
        <w:keepLines w:val="0"/>
        <w:widowControl/>
        <w:spacing w:before="0" w:after="0" w:line="400" w:lineRule="exact"/>
        <w:ind w:firstLine="480"/>
        <w:jc w:val="both"/>
      </w:pPr>
      <w:r>
        <w:rPr>
          <w:rFonts w:ascii="Times New Roman" w:hAnsi="Times New Roman" w:eastAsia="Songti SC"/>
          <w:b w:val="0"/>
          <w:sz w:val="24"/>
        </w:rPr>
        <w:t>G1的日期中位覆盖率仅9.1%，G3最大覆盖率为78.6%，均未达到团队聚合门槛；G2有8/20个有效日期达到80%。因此，跨梯队汇总可以使用球员水平统计，但只有G2的部分日期适合输出带有全队含义的单日均值。图4同时显示，数据绑定完成并不等于训练日覆盖充分。</w:t>
      </w:r>
    </w:p>
    <w:p w14:paraId="1A5E2ACC">
      <w:pPr>
        <w:keepNext/>
        <w:jc w:val="center"/>
      </w:pPr>
      <w:r>
        <w:drawing>
          <wp:inline distT="0" distB="0" distL="114300" distR="114300">
            <wp:extent cx="5806440" cy="2449195"/>
            <wp:effectExtent l="0" t="0" r="10160" b="1460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06440" cy="2449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1DA078">
      <w:pPr>
        <w:spacing w:before="40" w:after="100"/>
        <w:jc w:val="center"/>
      </w:pPr>
      <w:r>
        <w:rPr>
          <w:rFonts w:ascii="Times New Roman" w:hAnsi="Times New Roman" w:eastAsia="Songti SC"/>
          <w:b w:val="0"/>
          <w:sz w:val="21"/>
        </w:rPr>
        <w:t>图4  跨梯队有效覆盖率与球员水平距离密度</w:t>
      </w:r>
    </w:p>
    <w:p w14:paraId="6F136139">
      <w:pPr>
        <w:keepNext/>
        <w:keepLines w:val="0"/>
        <w:widowControl/>
        <w:spacing w:before="0" w:after="0" w:line="400" w:lineRule="exact"/>
        <w:ind w:firstLine="0"/>
        <w:jc w:val="both"/>
      </w:pPr>
      <w:r>
        <w:rPr>
          <w:rFonts w:ascii="Times New Roman" w:hAnsi="Times New Roman" w:eastAsia="Songti SC"/>
          <w:b/>
          <w:sz w:val="24"/>
        </w:rPr>
        <w:t>4.2 纳入阈值敏感性</w:t>
      </w:r>
    </w:p>
    <w:p w14:paraId="09E23CEF">
      <w:pPr>
        <w:keepNext/>
        <w:spacing w:before="40" w:after="100"/>
        <w:jc w:val="center"/>
      </w:pPr>
      <w:r>
        <w:rPr>
          <w:rFonts w:ascii="Times New Roman" w:hAnsi="Times New Roman" w:eastAsia="Songti SC"/>
          <w:b w:val="0"/>
          <w:sz w:val="21"/>
        </w:rPr>
        <w:t>表5  总距离纳入阈值的敏感性分析</w:t>
      </w:r>
    </w:p>
    <w:tbl>
      <w:tblPr>
        <w:tblStyle w:val="32"/>
        <w:tblW w:w="0" w:type="auto"/>
        <w:jc w:val="center"/>
        <w:tblBorders>
          <w:top w:val="single" w:color="000000" w:sz="12" w:space="0"/>
          <w:left w:val="none" w:color="auto" w:sz="0" w:space="0"/>
          <w:bottom w:val="single" w:color="000000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3"/>
        <w:gridCol w:w="1493"/>
        <w:gridCol w:w="1493"/>
        <w:gridCol w:w="1493"/>
        <w:gridCol w:w="1493"/>
        <w:gridCol w:w="1493"/>
      </w:tblGrid>
      <w:tr w14:paraId="52BB0244">
        <w:trPr>
          <w:tblHeader/>
          <w:jc w:val="center"/>
        </w:trPr>
        <w:tc>
          <w:tcPr>
            <w:tcW w:w="1531" w:type="dxa"/>
            <w:tcBorders>
              <w:bottom w:val="single" w:color="000000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41C972">
            <w:pPr>
              <w:spacing w:line="300" w:lineRule="exact"/>
              <w:jc w:val="center"/>
            </w:pPr>
            <w:r>
              <w:rPr>
                <w:rFonts w:ascii="Times New Roman" w:hAnsi="Times New Roman" w:eastAsia="Songti SC"/>
                <w:b/>
                <w:sz w:val="19"/>
              </w:rPr>
              <w:t>阈值/m</w:t>
            </w:r>
          </w:p>
        </w:tc>
        <w:tc>
          <w:tcPr>
            <w:tcW w:w="1361" w:type="dxa"/>
            <w:tcBorders>
              <w:bottom w:val="single" w:color="000000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FA8B2D">
            <w:pPr>
              <w:spacing w:line="300" w:lineRule="exact"/>
              <w:jc w:val="center"/>
            </w:pPr>
            <w:r>
              <w:rPr>
                <w:rFonts w:ascii="Times New Roman" w:hAnsi="Times New Roman" w:eastAsia="Songti SC"/>
                <w:b/>
                <w:sz w:val="19"/>
              </w:rPr>
              <w:t>球员日</w:t>
            </w:r>
          </w:p>
        </w:tc>
        <w:tc>
          <w:tcPr>
            <w:tcW w:w="1417" w:type="dxa"/>
            <w:tcBorders>
              <w:bottom w:val="single" w:color="000000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907112">
            <w:pPr>
              <w:spacing w:line="300" w:lineRule="exact"/>
              <w:jc w:val="center"/>
            </w:pPr>
            <w:r>
              <w:rPr>
                <w:rFonts w:ascii="Times New Roman" w:hAnsi="Times New Roman" w:eastAsia="Songti SC"/>
                <w:b/>
                <w:sz w:val="19"/>
              </w:rPr>
              <w:t>有效日期</w:t>
            </w:r>
          </w:p>
        </w:tc>
        <w:tc>
          <w:tcPr>
            <w:tcW w:w="1247" w:type="dxa"/>
            <w:tcBorders>
              <w:bottom w:val="single" w:color="000000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D9BFFC">
            <w:pPr>
              <w:spacing w:line="300" w:lineRule="exact"/>
              <w:jc w:val="center"/>
            </w:pPr>
            <w:r>
              <w:rPr>
                <w:rFonts w:ascii="Times New Roman" w:hAnsi="Times New Roman" w:eastAsia="Songti SC"/>
                <w:b/>
                <w:sz w:val="19"/>
              </w:rPr>
              <w:t>球员</w:t>
            </w:r>
          </w:p>
        </w:tc>
        <w:tc>
          <w:tcPr>
            <w:tcW w:w="1757" w:type="dxa"/>
            <w:tcBorders>
              <w:bottom w:val="single" w:color="000000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B8D2D3">
            <w:pPr>
              <w:spacing w:line="300" w:lineRule="exact"/>
              <w:jc w:val="center"/>
            </w:pPr>
            <w:r>
              <w:rPr>
                <w:rFonts w:ascii="Times New Roman" w:hAnsi="Times New Roman" w:eastAsia="Songti SC"/>
                <w:b/>
                <w:sz w:val="19"/>
              </w:rPr>
              <w:t>U15配对球员</w:t>
            </w:r>
          </w:p>
        </w:tc>
        <w:tc>
          <w:tcPr>
            <w:tcW w:w="3855" w:type="dxa"/>
            <w:tcBorders>
              <w:bottom w:val="single" w:color="000000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FACF05">
            <w:pPr>
              <w:spacing w:line="300" w:lineRule="exact"/>
              <w:jc w:val="center"/>
            </w:pPr>
            <w:r>
              <w:rPr>
                <w:rFonts w:ascii="Times New Roman" w:hAnsi="Times New Roman" w:eastAsia="Songti SC"/>
                <w:b/>
                <w:sz w:val="19"/>
              </w:rPr>
              <w:t>G1/G2/G3距离密度中位数</w:t>
            </w:r>
          </w:p>
        </w:tc>
      </w:tr>
      <w:tr w14:paraId="2C6DF432">
        <w:trPr>
          <w:cantSplit/>
          <w:jc w:val="center"/>
        </w:trPr>
        <w:tc>
          <w:tcPr>
            <w:tcW w:w="1531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254A615F">
            <w:pPr>
              <w:spacing w:line="300" w:lineRule="exact"/>
              <w:jc w:val="center"/>
            </w:pPr>
            <w:r>
              <w:rPr>
                <w:rFonts w:ascii="Times New Roman" w:hAnsi="Times New Roman" w:eastAsia="Songti SC"/>
                <w:b w:val="0"/>
                <w:sz w:val="19"/>
              </w:rPr>
              <w:t>300</w:t>
            </w:r>
          </w:p>
        </w:tc>
        <w:tc>
          <w:tcPr>
            <w:tcW w:w="1361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3C2FFE5E">
            <w:pPr>
              <w:spacing w:line="300" w:lineRule="exact"/>
              <w:jc w:val="center"/>
            </w:pPr>
            <w:r>
              <w:rPr>
                <w:rFonts w:ascii="Times New Roman" w:hAnsi="Times New Roman" w:eastAsia="Songti SC"/>
                <w:b w:val="0"/>
                <w:sz w:val="19"/>
              </w:rPr>
              <w:t>346</w:t>
            </w:r>
          </w:p>
        </w:tc>
        <w:tc>
          <w:tcPr>
            <w:tcW w:w="1417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6FEDE154">
            <w:pPr>
              <w:spacing w:line="300" w:lineRule="exact"/>
              <w:jc w:val="center"/>
            </w:pPr>
            <w:r>
              <w:rPr>
                <w:rFonts w:ascii="Times New Roman" w:hAnsi="Times New Roman" w:eastAsia="Songti SC"/>
                <w:b w:val="0"/>
                <w:sz w:val="19"/>
              </w:rPr>
              <w:t>39</w:t>
            </w:r>
          </w:p>
        </w:tc>
        <w:tc>
          <w:tcPr>
            <w:tcW w:w="1247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4BB3A372">
            <w:pPr>
              <w:spacing w:line="300" w:lineRule="exact"/>
              <w:jc w:val="center"/>
            </w:pPr>
            <w:r>
              <w:rPr>
                <w:rFonts w:ascii="Times New Roman" w:hAnsi="Times New Roman" w:eastAsia="Songti SC"/>
                <w:b w:val="0"/>
                <w:sz w:val="19"/>
              </w:rPr>
              <w:t>61</w:t>
            </w:r>
          </w:p>
        </w:tc>
        <w:tc>
          <w:tcPr>
            <w:tcW w:w="1757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00BD9D35">
            <w:pPr>
              <w:spacing w:line="300" w:lineRule="exact"/>
              <w:jc w:val="center"/>
            </w:pPr>
            <w:r>
              <w:rPr>
                <w:rFonts w:ascii="Times New Roman" w:hAnsi="Times New Roman" w:eastAsia="Songti SC"/>
                <w:b w:val="0"/>
                <w:sz w:val="19"/>
              </w:rPr>
              <w:t>21</w:t>
            </w:r>
          </w:p>
        </w:tc>
        <w:tc>
          <w:tcPr>
            <w:tcW w:w="3855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15DE1647">
            <w:pPr>
              <w:spacing w:line="300" w:lineRule="exact"/>
              <w:jc w:val="center"/>
            </w:pPr>
            <w:r>
              <w:rPr>
                <w:rFonts w:ascii="Times New Roman" w:hAnsi="Times New Roman" w:eastAsia="Songti SC"/>
                <w:b w:val="0"/>
                <w:sz w:val="19"/>
              </w:rPr>
              <w:t>42.46/48.23/56.30</w:t>
            </w:r>
          </w:p>
        </w:tc>
      </w:tr>
      <w:tr w14:paraId="1B735DF0">
        <w:trPr>
          <w:cantSplit/>
          <w:jc w:val="center"/>
        </w:trPr>
        <w:tc>
          <w:tcPr>
            <w:tcW w:w="1531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414A2FAE">
            <w:pPr>
              <w:spacing w:line="300" w:lineRule="exact"/>
              <w:jc w:val="center"/>
            </w:pPr>
            <w:r>
              <w:rPr>
                <w:rFonts w:ascii="Times New Roman" w:hAnsi="Times New Roman" w:eastAsia="Songti SC"/>
                <w:b w:val="0"/>
                <w:sz w:val="19"/>
              </w:rPr>
              <w:t>500（主分析）</w:t>
            </w:r>
          </w:p>
        </w:tc>
        <w:tc>
          <w:tcPr>
            <w:tcW w:w="1361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216FDE83">
            <w:pPr>
              <w:spacing w:line="300" w:lineRule="exact"/>
              <w:jc w:val="center"/>
            </w:pPr>
            <w:r>
              <w:rPr>
                <w:rFonts w:ascii="Times New Roman" w:hAnsi="Times New Roman" w:eastAsia="Songti SC"/>
                <w:b w:val="0"/>
                <w:sz w:val="19"/>
              </w:rPr>
              <w:t>343</w:t>
            </w:r>
          </w:p>
        </w:tc>
        <w:tc>
          <w:tcPr>
            <w:tcW w:w="1417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5F6F1F89">
            <w:pPr>
              <w:spacing w:line="300" w:lineRule="exact"/>
              <w:jc w:val="center"/>
            </w:pPr>
            <w:r>
              <w:rPr>
                <w:rFonts w:ascii="Times New Roman" w:hAnsi="Times New Roman" w:eastAsia="Songti SC"/>
                <w:b w:val="0"/>
                <w:sz w:val="19"/>
              </w:rPr>
              <w:t>39</w:t>
            </w:r>
          </w:p>
        </w:tc>
        <w:tc>
          <w:tcPr>
            <w:tcW w:w="1247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7BFFF53E">
            <w:pPr>
              <w:spacing w:line="300" w:lineRule="exact"/>
              <w:jc w:val="center"/>
            </w:pPr>
            <w:r>
              <w:rPr>
                <w:rFonts w:ascii="Times New Roman" w:hAnsi="Times New Roman" w:eastAsia="Songti SC"/>
                <w:b w:val="0"/>
                <w:sz w:val="19"/>
              </w:rPr>
              <w:t>61</w:t>
            </w:r>
          </w:p>
        </w:tc>
        <w:tc>
          <w:tcPr>
            <w:tcW w:w="1757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7F6734F1">
            <w:pPr>
              <w:spacing w:line="300" w:lineRule="exact"/>
              <w:jc w:val="center"/>
            </w:pPr>
            <w:r>
              <w:rPr>
                <w:rFonts w:ascii="Times New Roman" w:hAnsi="Times New Roman" w:eastAsia="Songti SC"/>
                <w:b w:val="0"/>
                <w:sz w:val="19"/>
              </w:rPr>
              <w:t>20</w:t>
            </w:r>
          </w:p>
        </w:tc>
        <w:tc>
          <w:tcPr>
            <w:tcW w:w="3855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5BC75A70">
            <w:pPr>
              <w:spacing w:line="300" w:lineRule="exact"/>
              <w:jc w:val="center"/>
            </w:pPr>
            <w:r>
              <w:rPr>
                <w:rFonts w:ascii="Times New Roman" w:hAnsi="Times New Roman" w:eastAsia="Songti SC"/>
                <w:b w:val="0"/>
                <w:sz w:val="19"/>
              </w:rPr>
              <w:t>42.46/48.23/56.30</w:t>
            </w:r>
          </w:p>
        </w:tc>
      </w:tr>
      <w:tr w14:paraId="6CB4AFF6">
        <w:trPr>
          <w:cantSplit/>
          <w:jc w:val="center"/>
        </w:trPr>
        <w:tc>
          <w:tcPr>
            <w:tcW w:w="1531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75957C1C">
            <w:pPr>
              <w:spacing w:line="300" w:lineRule="exact"/>
              <w:jc w:val="center"/>
            </w:pPr>
            <w:r>
              <w:rPr>
                <w:rFonts w:ascii="Times New Roman" w:hAnsi="Times New Roman" w:eastAsia="Songti SC"/>
                <w:b w:val="0"/>
                <w:sz w:val="19"/>
              </w:rPr>
              <w:t>800</w:t>
            </w:r>
          </w:p>
        </w:tc>
        <w:tc>
          <w:tcPr>
            <w:tcW w:w="1361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5495A143">
            <w:pPr>
              <w:spacing w:line="300" w:lineRule="exact"/>
              <w:jc w:val="center"/>
            </w:pPr>
            <w:r>
              <w:rPr>
                <w:rFonts w:ascii="Times New Roman" w:hAnsi="Times New Roman" w:eastAsia="Songti SC"/>
                <w:b w:val="0"/>
                <w:sz w:val="19"/>
              </w:rPr>
              <w:t>339</w:t>
            </w:r>
          </w:p>
        </w:tc>
        <w:tc>
          <w:tcPr>
            <w:tcW w:w="1417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787E341F">
            <w:pPr>
              <w:spacing w:line="300" w:lineRule="exact"/>
              <w:jc w:val="center"/>
            </w:pPr>
            <w:r>
              <w:rPr>
                <w:rFonts w:ascii="Times New Roman" w:hAnsi="Times New Roman" w:eastAsia="Songti SC"/>
                <w:b w:val="0"/>
                <w:sz w:val="19"/>
              </w:rPr>
              <w:t>39</w:t>
            </w:r>
          </w:p>
        </w:tc>
        <w:tc>
          <w:tcPr>
            <w:tcW w:w="1247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789A5CA1">
            <w:pPr>
              <w:spacing w:line="300" w:lineRule="exact"/>
              <w:jc w:val="center"/>
            </w:pPr>
            <w:r>
              <w:rPr>
                <w:rFonts w:ascii="Times New Roman" w:hAnsi="Times New Roman" w:eastAsia="Songti SC"/>
                <w:b w:val="0"/>
                <w:sz w:val="19"/>
              </w:rPr>
              <w:t>61</w:t>
            </w:r>
          </w:p>
        </w:tc>
        <w:tc>
          <w:tcPr>
            <w:tcW w:w="1757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5B2200D9">
            <w:pPr>
              <w:spacing w:line="300" w:lineRule="exact"/>
              <w:jc w:val="center"/>
            </w:pPr>
            <w:r>
              <w:rPr>
                <w:rFonts w:ascii="Times New Roman" w:hAnsi="Times New Roman" w:eastAsia="Songti SC"/>
                <w:b w:val="0"/>
                <w:sz w:val="19"/>
              </w:rPr>
              <w:t>18</w:t>
            </w:r>
          </w:p>
        </w:tc>
        <w:tc>
          <w:tcPr>
            <w:tcW w:w="3855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2D3183F1">
            <w:pPr>
              <w:spacing w:line="300" w:lineRule="exact"/>
              <w:jc w:val="center"/>
            </w:pPr>
            <w:r>
              <w:rPr>
                <w:rFonts w:ascii="Times New Roman" w:hAnsi="Times New Roman" w:eastAsia="Songti SC"/>
                <w:b w:val="0"/>
                <w:sz w:val="19"/>
              </w:rPr>
              <w:t>42.46/48.23/56.30</w:t>
            </w:r>
          </w:p>
        </w:tc>
      </w:tr>
    </w:tbl>
    <w:p w14:paraId="40EFD8EA">
      <w:pPr>
        <w:spacing w:after="0"/>
      </w:pPr>
    </w:p>
    <w:p w14:paraId="4A638119">
      <w:pPr>
        <w:keepLines w:val="0"/>
        <w:widowControl/>
        <w:spacing w:before="0" w:after="0" w:line="400" w:lineRule="exact"/>
        <w:ind w:firstLine="480"/>
        <w:jc w:val="both"/>
      </w:pPr>
      <w:r>
        <w:rPr>
          <w:rFonts w:ascii="Times New Roman" w:hAnsi="Times New Roman" w:eastAsia="Songti SC"/>
          <w:b w:val="0"/>
          <w:sz w:val="24"/>
        </w:rPr>
        <w:t>阈值由500 m调整为300 m或800 m时，球员日数量仅变化+3或-4，三队有效日期、球员数和球员水平距离密度中位数均不变。U15训练—比赛配对人数变化为21或18人；比赛-训练的总距离中位差分别为-3066.44 m和-2380.05 m，距离密度中位差分别为-0.21 m/min和5.80 m/min，仍表现为总量下降而强度方向不稳定。因此，500 m筛查不决定本研究的主要判断。</w:t>
      </w:r>
    </w:p>
    <w:p w14:paraId="3E17F45F">
      <w:pPr>
        <w:keepNext/>
        <w:keepLines w:val="0"/>
        <w:widowControl/>
        <w:spacing w:before="0" w:after="0" w:line="400" w:lineRule="exact"/>
        <w:ind w:firstLine="0"/>
        <w:jc w:val="both"/>
        <w:rPr>
          <w:rFonts w:ascii="Times New Roman" w:hAnsi="Times New Roman" w:eastAsia="Songti SC"/>
          <w:b/>
          <w:sz w:val="24"/>
        </w:rPr>
      </w:pPr>
    </w:p>
    <w:p w14:paraId="339F5A90">
      <w:pPr>
        <w:keepNext/>
        <w:keepLines w:val="0"/>
        <w:widowControl/>
        <w:spacing w:before="0" w:after="0" w:line="400" w:lineRule="exact"/>
        <w:ind w:firstLine="0"/>
        <w:jc w:val="both"/>
      </w:pPr>
      <w:r>
        <w:rPr>
          <w:rFonts w:ascii="Times New Roman" w:hAnsi="Times New Roman" w:eastAsia="Songti SC"/>
          <w:b/>
          <w:sz w:val="24"/>
        </w:rPr>
        <w:t>4.3 跨梯队训练监测与表现参照</w:t>
      </w:r>
    </w:p>
    <w:p w14:paraId="1AF67790">
      <w:pPr>
        <w:keepNext/>
        <w:spacing w:before="40" w:after="100"/>
        <w:jc w:val="center"/>
      </w:pPr>
      <w:r>
        <w:rPr>
          <w:rFonts w:ascii="Times New Roman" w:hAnsi="Times New Roman" w:eastAsia="Songti SC"/>
          <w:b w:val="0"/>
          <w:sz w:val="21"/>
        </w:rPr>
        <w:t>表6  基于球员内中位数的跨梯队外部负荷</w:t>
      </w:r>
    </w:p>
    <w:tbl>
      <w:tblPr>
        <w:tblStyle w:val="32"/>
        <w:tblW w:w="0" w:type="auto"/>
        <w:jc w:val="center"/>
        <w:tblBorders>
          <w:top w:val="single" w:color="000000" w:sz="12" w:space="0"/>
          <w:left w:val="none" w:color="auto" w:sz="0" w:space="0"/>
          <w:bottom w:val="single" w:color="000000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9"/>
        <w:gridCol w:w="2239"/>
        <w:gridCol w:w="2239"/>
        <w:gridCol w:w="2239"/>
      </w:tblGrid>
      <w:tr w14:paraId="4F266E4E">
        <w:trPr>
          <w:tblHeader/>
          <w:jc w:val="center"/>
        </w:trPr>
        <w:tc>
          <w:tcPr>
            <w:tcW w:w="2268" w:type="dxa"/>
            <w:tcBorders>
              <w:bottom w:val="single" w:color="000000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32C5BE">
            <w:pPr>
              <w:spacing w:line="300" w:lineRule="exact"/>
              <w:jc w:val="center"/>
            </w:pPr>
            <w:r>
              <w:rPr>
                <w:rFonts w:ascii="Times New Roman" w:hAnsi="Times New Roman" w:eastAsia="Songti SC"/>
                <w:b/>
                <w:sz w:val="19"/>
              </w:rPr>
              <w:t>梯队</w:t>
            </w:r>
          </w:p>
        </w:tc>
        <w:tc>
          <w:tcPr>
            <w:tcW w:w="2835" w:type="dxa"/>
            <w:tcBorders>
              <w:bottom w:val="single" w:color="000000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0D76EA">
            <w:pPr>
              <w:spacing w:line="300" w:lineRule="exact"/>
              <w:jc w:val="center"/>
            </w:pPr>
            <w:r>
              <w:rPr>
                <w:rFonts w:ascii="Times New Roman" w:hAnsi="Times New Roman" w:eastAsia="Songti SC"/>
                <w:b/>
                <w:sz w:val="19"/>
              </w:rPr>
              <w:t>总距离/m</w:t>
            </w:r>
          </w:p>
        </w:tc>
        <w:tc>
          <w:tcPr>
            <w:tcW w:w="2835" w:type="dxa"/>
            <w:tcBorders>
              <w:bottom w:val="single" w:color="000000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22E263">
            <w:pPr>
              <w:spacing w:line="300" w:lineRule="exact"/>
              <w:jc w:val="center"/>
            </w:pPr>
            <w:r>
              <w:rPr>
                <w:rFonts w:ascii="Times New Roman" w:hAnsi="Times New Roman" w:eastAsia="Songti SC"/>
                <w:b/>
                <w:sz w:val="19"/>
              </w:rPr>
              <w:t>距离密度/(m/min)</w:t>
            </w:r>
          </w:p>
        </w:tc>
        <w:tc>
          <w:tcPr>
            <w:tcW w:w="2551" w:type="dxa"/>
            <w:tcBorders>
              <w:bottom w:val="single" w:color="000000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B29433">
            <w:pPr>
              <w:spacing w:line="300" w:lineRule="exact"/>
              <w:jc w:val="center"/>
            </w:pPr>
            <w:r>
              <w:rPr>
                <w:rFonts w:ascii="Times New Roman" w:hAnsi="Times New Roman" w:eastAsia="Songti SC"/>
                <w:b/>
                <w:sz w:val="19"/>
              </w:rPr>
              <w:t>GNSS高速跑占比/%</w:t>
            </w:r>
          </w:p>
        </w:tc>
      </w:tr>
      <w:tr w14:paraId="54ADDFAC">
        <w:trPr>
          <w:cantSplit/>
          <w:jc w:val="center"/>
        </w:trPr>
        <w:tc>
          <w:tcPr>
            <w:tcW w:w="2268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0E2CE27F">
            <w:pPr>
              <w:spacing w:line="300" w:lineRule="exact"/>
              <w:jc w:val="center"/>
            </w:pPr>
            <w:r>
              <w:rPr>
                <w:rFonts w:ascii="Times New Roman" w:hAnsi="Times New Roman" w:eastAsia="Songti SC"/>
                <w:b w:val="0"/>
                <w:sz w:val="19"/>
              </w:rPr>
              <w:t>G1（n=10）</w:t>
            </w:r>
          </w:p>
        </w:tc>
        <w:tc>
          <w:tcPr>
            <w:tcW w:w="2835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72622043">
            <w:pPr>
              <w:spacing w:line="300" w:lineRule="exact"/>
              <w:jc w:val="center"/>
            </w:pPr>
            <w:r>
              <w:rPr>
                <w:rFonts w:ascii="Times New Roman" w:hAnsi="Times New Roman" w:eastAsia="Songti SC"/>
                <w:b w:val="0"/>
                <w:sz w:val="19"/>
              </w:rPr>
              <w:t>4989.11（3198.60，6504.83）</w:t>
            </w:r>
          </w:p>
        </w:tc>
        <w:tc>
          <w:tcPr>
            <w:tcW w:w="2835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7AB543FA">
            <w:pPr>
              <w:spacing w:line="300" w:lineRule="exact"/>
              <w:jc w:val="center"/>
            </w:pPr>
            <w:r>
              <w:rPr>
                <w:rFonts w:ascii="Times New Roman" w:hAnsi="Times New Roman" w:eastAsia="Songti SC"/>
                <w:b w:val="0"/>
                <w:sz w:val="19"/>
              </w:rPr>
              <w:t>42.46（35.45，51.54）</w:t>
            </w:r>
          </w:p>
        </w:tc>
        <w:tc>
          <w:tcPr>
            <w:tcW w:w="2551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261273A5">
            <w:pPr>
              <w:spacing w:line="300" w:lineRule="exact"/>
              <w:jc w:val="center"/>
            </w:pPr>
            <w:r>
              <w:rPr>
                <w:rFonts w:ascii="Times New Roman" w:hAnsi="Times New Roman" w:eastAsia="Songti SC"/>
                <w:b w:val="0"/>
                <w:sz w:val="19"/>
              </w:rPr>
              <w:t>6.39（2.59，12.40）</w:t>
            </w:r>
          </w:p>
        </w:tc>
      </w:tr>
      <w:tr w14:paraId="62A33F4C">
        <w:trPr>
          <w:cantSplit/>
          <w:jc w:val="center"/>
        </w:trPr>
        <w:tc>
          <w:tcPr>
            <w:tcW w:w="2268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6045DE0A">
            <w:pPr>
              <w:spacing w:line="300" w:lineRule="exact"/>
              <w:jc w:val="center"/>
            </w:pPr>
            <w:r>
              <w:rPr>
                <w:rFonts w:ascii="Times New Roman" w:hAnsi="Times New Roman" w:eastAsia="Songti SC"/>
                <w:b w:val="0"/>
                <w:sz w:val="19"/>
              </w:rPr>
              <w:t>G2 U15（n=26）</w:t>
            </w:r>
          </w:p>
        </w:tc>
        <w:tc>
          <w:tcPr>
            <w:tcW w:w="2835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6B6C708A">
            <w:pPr>
              <w:spacing w:line="300" w:lineRule="exact"/>
              <w:jc w:val="center"/>
            </w:pPr>
            <w:r>
              <w:rPr>
                <w:rFonts w:ascii="Times New Roman" w:hAnsi="Times New Roman" w:eastAsia="Songti SC"/>
                <w:b w:val="0"/>
                <w:sz w:val="19"/>
              </w:rPr>
              <w:t>5961.40（5432.68，7038.49）</w:t>
            </w:r>
          </w:p>
        </w:tc>
        <w:tc>
          <w:tcPr>
            <w:tcW w:w="2835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19A3C387">
            <w:pPr>
              <w:spacing w:line="300" w:lineRule="exact"/>
              <w:jc w:val="center"/>
            </w:pPr>
            <w:r>
              <w:rPr>
                <w:rFonts w:ascii="Times New Roman" w:hAnsi="Times New Roman" w:eastAsia="Songti SC"/>
                <w:b w:val="0"/>
                <w:sz w:val="19"/>
              </w:rPr>
              <w:t>48.23（43.49，51.26）</w:t>
            </w:r>
          </w:p>
        </w:tc>
        <w:tc>
          <w:tcPr>
            <w:tcW w:w="2551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2855FBAC">
            <w:pPr>
              <w:spacing w:line="300" w:lineRule="exact"/>
              <w:jc w:val="center"/>
            </w:pPr>
            <w:r>
              <w:rPr>
                <w:rFonts w:ascii="Times New Roman" w:hAnsi="Times New Roman" w:eastAsia="Songti SC"/>
                <w:b w:val="0"/>
                <w:sz w:val="19"/>
              </w:rPr>
              <w:t>2.66（2.06，4.10）</w:t>
            </w:r>
          </w:p>
        </w:tc>
      </w:tr>
      <w:tr w14:paraId="7778B4C6">
        <w:trPr>
          <w:cantSplit/>
          <w:jc w:val="center"/>
        </w:trPr>
        <w:tc>
          <w:tcPr>
            <w:tcW w:w="2268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220B579A">
            <w:pPr>
              <w:spacing w:line="300" w:lineRule="exact"/>
              <w:jc w:val="center"/>
            </w:pPr>
            <w:r>
              <w:rPr>
                <w:rFonts w:ascii="Times New Roman" w:hAnsi="Times New Roman" w:eastAsia="Songti SC"/>
                <w:b w:val="0"/>
                <w:sz w:val="19"/>
              </w:rPr>
              <w:t>G3 U9/U10（n=25）</w:t>
            </w:r>
          </w:p>
        </w:tc>
        <w:tc>
          <w:tcPr>
            <w:tcW w:w="2835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69C8DCAA">
            <w:pPr>
              <w:spacing w:line="300" w:lineRule="exact"/>
              <w:jc w:val="center"/>
            </w:pPr>
            <w:r>
              <w:rPr>
                <w:rFonts w:ascii="Times New Roman" w:hAnsi="Times New Roman" w:eastAsia="Songti SC"/>
                <w:b w:val="0"/>
                <w:sz w:val="19"/>
              </w:rPr>
              <w:t>7097.35（5853.87，9416.43）</w:t>
            </w:r>
          </w:p>
        </w:tc>
        <w:tc>
          <w:tcPr>
            <w:tcW w:w="2835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08CA6EFD">
            <w:pPr>
              <w:spacing w:line="300" w:lineRule="exact"/>
              <w:jc w:val="center"/>
            </w:pPr>
            <w:r>
              <w:rPr>
                <w:rFonts w:ascii="Times New Roman" w:hAnsi="Times New Roman" w:eastAsia="Songti SC"/>
                <w:b w:val="0"/>
                <w:sz w:val="19"/>
              </w:rPr>
              <w:t>56.30（43.74，65.66）</w:t>
            </w:r>
          </w:p>
        </w:tc>
        <w:tc>
          <w:tcPr>
            <w:tcW w:w="2551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5A4D6179">
            <w:pPr>
              <w:spacing w:line="300" w:lineRule="exact"/>
              <w:jc w:val="center"/>
            </w:pPr>
            <w:r>
              <w:rPr>
                <w:rFonts w:ascii="Times New Roman" w:hAnsi="Times New Roman" w:eastAsia="Songti SC"/>
                <w:b w:val="0"/>
                <w:sz w:val="19"/>
              </w:rPr>
              <w:t>3.90（3.10，5.23）</w:t>
            </w:r>
          </w:p>
        </w:tc>
      </w:tr>
    </w:tbl>
    <w:p w14:paraId="26483097">
      <w:pPr>
        <w:spacing w:after="0"/>
      </w:pPr>
    </w:p>
    <w:p w14:paraId="1A8E7F76">
      <w:pPr>
        <w:keepLines w:val="0"/>
        <w:widowControl/>
        <w:spacing w:before="0" w:after="0" w:line="400" w:lineRule="exact"/>
        <w:ind w:firstLine="480"/>
        <w:jc w:val="both"/>
      </w:pPr>
      <w:r>
        <w:rPr>
          <w:rFonts w:ascii="Times New Roman" w:hAnsi="Times New Roman" w:eastAsia="Songti SC"/>
          <w:b w:val="0"/>
          <w:sz w:val="24"/>
        </w:rPr>
        <w:t>球员水平总距离和距离密度由G1至G3递增。探索性置换结果为：距离密度H=7.701、置换P=0.0183、ε²=0.098；总距离H=6.856、P=0.0286、ε²=0.084；GNSS高速跑占比H=7.442、P=0.0210、ε²=0.094。由于每个梯队仅有一支球队，球队、训练内容、事件构成和年龄完全混杂，P值只描述本样本分布，不支持年龄效应或跨队排名。跨梯队结果主要用于说明软件应为不同队伍建立独立历史基线。</w:t>
      </w:r>
    </w:p>
    <w:p w14:paraId="5D9E5636">
      <w:pPr>
        <w:keepNext/>
        <w:keepLines w:val="0"/>
        <w:widowControl/>
        <w:spacing w:before="0" w:after="0" w:line="400" w:lineRule="exact"/>
        <w:ind w:firstLine="0"/>
        <w:jc w:val="both"/>
      </w:pPr>
      <w:r>
        <w:rPr>
          <w:rFonts w:ascii="Times New Roman" w:hAnsi="Times New Roman" w:eastAsia="Songti SC"/>
          <w:b/>
          <w:sz w:val="24"/>
        </w:rPr>
        <w:t>4.4 U15组训练—比赛的情境表现评估</w:t>
      </w:r>
    </w:p>
    <w:p w14:paraId="6DC785D7">
      <w:pPr>
        <w:keepNext/>
        <w:spacing w:before="40" w:after="100"/>
        <w:jc w:val="center"/>
      </w:pPr>
      <w:r>
        <w:rPr>
          <w:rFonts w:ascii="Times New Roman" w:hAnsi="Times New Roman" w:eastAsia="Songti SC"/>
          <w:b w:val="0"/>
          <w:sz w:val="21"/>
        </w:rPr>
        <w:t>表7  U15组训练与比赛的球员内配对比较（n=20）</w:t>
      </w:r>
    </w:p>
    <w:tbl>
      <w:tblPr>
        <w:tblStyle w:val="32"/>
        <w:tblW w:w="0" w:type="auto"/>
        <w:jc w:val="center"/>
        <w:tblBorders>
          <w:top w:val="single" w:color="000000" w:sz="12" w:space="0"/>
          <w:left w:val="none" w:color="auto" w:sz="0" w:space="0"/>
          <w:bottom w:val="single" w:color="000000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9"/>
        <w:gridCol w:w="2239"/>
        <w:gridCol w:w="2239"/>
        <w:gridCol w:w="2239"/>
      </w:tblGrid>
      <w:tr w14:paraId="7A529B59">
        <w:trPr>
          <w:tblHeader/>
          <w:jc w:val="center"/>
        </w:trPr>
        <w:tc>
          <w:tcPr>
            <w:tcW w:w="2665" w:type="dxa"/>
            <w:tcBorders>
              <w:bottom w:val="single" w:color="000000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B5A24B">
            <w:pPr>
              <w:spacing w:line="300" w:lineRule="exact"/>
              <w:jc w:val="center"/>
            </w:pPr>
            <w:r>
              <w:rPr>
                <w:rFonts w:ascii="Times New Roman" w:hAnsi="Times New Roman" w:eastAsia="Songti SC"/>
                <w:b/>
                <w:sz w:val="21"/>
              </w:rPr>
              <w:t>指标</w:t>
            </w:r>
          </w:p>
        </w:tc>
        <w:tc>
          <w:tcPr>
            <w:tcW w:w="1984" w:type="dxa"/>
            <w:tcBorders>
              <w:bottom w:val="single" w:color="000000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66AA2C">
            <w:pPr>
              <w:spacing w:line="300" w:lineRule="exact"/>
              <w:jc w:val="center"/>
            </w:pPr>
            <w:r>
              <w:rPr>
                <w:rFonts w:ascii="Times New Roman" w:hAnsi="Times New Roman" w:eastAsia="Songti SC"/>
                <w:b/>
                <w:sz w:val="21"/>
              </w:rPr>
              <w:t>训练中位数</w:t>
            </w:r>
          </w:p>
        </w:tc>
        <w:tc>
          <w:tcPr>
            <w:tcW w:w="1984" w:type="dxa"/>
            <w:tcBorders>
              <w:bottom w:val="single" w:color="000000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5BE357">
            <w:pPr>
              <w:spacing w:line="300" w:lineRule="exact"/>
              <w:jc w:val="center"/>
            </w:pPr>
            <w:r>
              <w:rPr>
                <w:rFonts w:ascii="Times New Roman" w:hAnsi="Times New Roman" w:eastAsia="Songti SC"/>
                <w:b/>
                <w:sz w:val="21"/>
              </w:rPr>
              <w:t>比赛中位数</w:t>
            </w:r>
          </w:p>
        </w:tc>
        <w:tc>
          <w:tcPr>
            <w:tcW w:w="3855" w:type="dxa"/>
            <w:tcBorders>
              <w:bottom w:val="single" w:color="000000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99BF4E">
            <w:pPr>
              <w:spacing w:line="300" w:lineRule="exact"/>
              <w:jc w:val="center"/>
            </w:pPr>
            <w:r>
              <w:rPr>
                <w:rFonts w:ascii="Times New Roman" w:hAnsi="Times New Roman" w:eastAsia="Songti SC"/>
                <w:b/>
                <w:sz w:val="21"/>
              </w:rPr>
              <w:t>比赛-训练中位差（95%置信区间）</w:t>
            </w:r>
          </w:p>
        </w:tc>
      </w:tr>
      <w:tr w14:paraId="10FB8F79">
        <w:trPr>
          <w:cantSplit/>
          <w:jc w:val="center"/>
        </w:trPr>
        <w:tc>
          <w:tcPr>
            <w:tcW w:w="2665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57B4EA2B">
            <w:pPr>
              <w:spacing w:line="300" w:lineRule="exact"/>
              <w:jc w:val="center"/>
            </w:pPr>
            <w:r>
              <w:rPr>
                <w:rFonts w:ascii="Times New Roman" w:hAnsi="Times New Roman" w:eastAsia="Songti SC"/>
                <w:b w:val="0"/>
                <w:sz w:val="21"/>
              </w:rPr>
              <w:t>观测时长/min</w:t>
            </w:r>
          </w:p>
        </w:tc>
        <w:tc>
          <w:tcPr>
            <w:tcW w:w="1984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355AE40D">
            <w:pPr>
              <w:spacing w:line="300" w:lineRule="exact"/>
              <w:jc w:val="center"/>
            </w:pPr>
            <w:r>
              <w:rPr>
                <w:rFonts w:ascii="Times New Roman" w:hAnsi="Times New Roman" w:eastAsia="Songti SC"/>
                <w:b w:val="0"/>
                <w:sz w:val="21"/>
              </w:rPr>
              <w:t>160.06</w:t>
            </w:r>
          </w:p>
        </w:tc>
        <w:tc>
          <w:tcPr>
            <w:tcW w:w="1984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319FD246">
            <w:pPr>
              <w:spacing w:line="300" w:lineRule="exact"/>
              <w:jc w:val="center"/>
            </w:pPr>
            <w:r>
              <w:rPr>
                <w:rFonts w:ascii="Times New Roman" w:hAnsi="Times New Roman" w:eastAsia="Songti SC"/>
                <w:b w:val="0"/>
                <w:sz w:val="21"/>
              </w:rPr>
              <w:t>90.99</w:t>
            </w:r>
          </w:p>
        </w:tc>
        <w:tc>
          <w:tcPr>
            <w:tcW w:w="3855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39AFB086">
            <w:pPr>
              <w:spacing w:line="300" w:lineRule="exact"/>
              <w:jc w:val="center"/>
            </w:pPr>
            <w:r>
              <w:rPr>
                <w:rFonts w:ascii="Times New Roman" w:hAnsi="Times New Roman" w:eastAsia="Songti SC"/>
                <w:b w:val="0"/>
                <w:sz w:val="21"/>
              </w:rPr>
              <w:t>-71.55（-86.79，-41.62）</w:t>
            </w:r>
          </w:p>
        </w:tc>
      </w:tr>
      <w:tr w14:paraId="664F4CE4">
        <w:trPr>
          <w:cantSplit/>
          <w:jc w:val="center"/>
        </w:trPr>
        <w:tc>
          <w:tcPr>
            <w:tcW w:w="2665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091B15E6">
            <w:pPr>
              <w:spacing w:line="300" w:lineRule="exact"/>
              <w:jc w:val="center"/>
            </w:pPr>
            <w:r>
              <w:rPr>
                <w:rFonts w:ascii="Times New Roman" w:hAnsi="Times New Roman" w:eastAsia="Songti SC"/>
                <w:b w:val="0"/>
                <w:sz w:val="21"/>
              </w:rPr>
              <w:t>总距离/m</w:t>
            </w:r>
          </w:p>
        </w:tc>
        <w:tc>
          <w:tcPr>
            <w:tcW w:w="1984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249F2897">
            <w:pPr>
              <w:spacing w:line="300" w:lineRule="exact"/>
              <w:jc w:val="center"/>
            </w:pPr>
            <w:r>
              <w:rPr>
                <w:rFonts w:ascii="Times New Roman" w:hAnsi="Times New Roman" w:eastAsia="Songti SC"/>
                <w:b w:val="0"/>
                <w:sz w:val="21"/>
              </w:rPr>
              <w:t>8095.84</w:t>
            </w:r>
          </w:p>
        </w:tc>
        <w:tc>
          <w:tcPr>
            <w:tcW w:w="1984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6C5B9D25">
            <w:pPr>
              <w:spacing w:line="300" w:lineRule="exact"/>
              <w:jc w:val="center"/>
            </w:pPr>
            <w:r>
              <w:rPr>
                <w:rFonts w:ascii="Times New Roman" w:hAnsi="Times New Roman" w:eastAsia="Songti SC"/>
                <w:b w:val="0"/>
                <w:sz w:val="21"/>
              </w:rPr>
              <w:t>5406.27</w:t>
            </w:r>
          </w:p>
        </w:tc>
        <w:tc>
          <w:tcPr>
            <w:tcW w:w="3855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0FE48442">
            <w:pPr>
              <w:spacing w:line="300" w:lineRule="exact"/>
              <w:jc w:val="center"/>
            </w:pPr>
            <w:r>
              <w:rPr>
                <w:rFonts w:ascii="Times New Roman" w:hAnsi="Times New Roman" w:eastAsia="Songti SC"/>
                <w:b w:val="0"/>
                <w:sz w:val="21"/>
              </w:rPr>
              <w:t>-2775.94（-5234.18，-793.65）</w:t>
            </w:r>
          </w:p>
        </w:tc>
      </w:tr>
      <w:tr w14:paraId="0997B339">
        <w:trPr>
          <w:cantSplit/>
          <w:jc w:val="center"/>
        </w:trPr>
        <w:tc>
          <w:tcPr>
            <w:tcW w:w="2665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08B310D1">
            <w:pPr>
              <w:spacing w:line="300" w:lineRule="exact"/>
              <w:jc w:val="center"/>
            </w:pPr>
            <w:r>
              <w:rPr>
                <w:rFonts w:ascii="Times New Roman" w:hAnsi="Times New Roman" w:eastAsia="Songti SC"/>
                <w:b w:val="0"/>
                <w:sz w:val="21"/>
              </w:rPr>
              <w:t>距离密度/(m/min)</w:t>
            </w:r>
          </w:p>
        </w:tc>
        <w:tc>
          <w:tcPr>
            <w:tcW w:w="1984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416F03CB">
            <w:pPr>
              <w:spacing w:line="300" w:lineRule="exact"/>
              <w:jc w:val="center"/>
            </w:pPr>
            <w:r>
              <w:rPr>
                <w:rFonts w:ascii="Times New Roman" w:hAnsi="Times New Roman" w:eastAsia="Songti SC"/>
                <w:b w:val="0"/>
                <w:sz w:val="21"/>
              </w:rPr>
              <w:t>50.84</w:t>
            </w:r>
          </w:p>
        </w:tc>
        <w:tc>
          <w:tcPr>
            <w:tcW w:w="1984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1BE98E4B">
            <w:pPr>
              <w:spacing w:line="300" w:lineRule="exact"/>
              <w:jc w:val="center"/>
            </w:pPr>
            <w:r>
              <w:rPr>
                <w:rFonts w:ascii="Times New Roman" w:hAnsi="Times New Roman" w:eastAsia="Songti SC"/>
                <w:b w:val="0"/>
                <w:sz w:val="21"/>
              </w:rPr>
              <w:t>55.36</w:t>
            </w:r>
          </w:p>
        </w:tc>
        <w:tc>
          <w:tcPr>
            <w:tcW w:w="3855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2E1CC18E">
            <w:pPr>
              <w:spacing w:line="300" w:lineRule="exact"/>
              <w:jc w:val="center"/>
            </w:pPr>
            <w:r>
              <w:rPr>
                <w:rFonts w:ascii="Times New Roman" w:hAnsi="Times New Roman" w:eastAsia="Songti SC"/>
                <w:b w:val="0"/>
                <w:sz w:val="21"/>
              </w:rPr>
              <w:t>2.28（-13.88，9.13）</w:t>
            </w:r>
          </w:p>
        </w:tc>
      </w:tr>
      <w:tr w14:paraId="57DE6FAB">
        <w:trPr>
          <w:cantSplit/>
          <w:jc w:val="center"/>
        </w:trPr>
        <w:tc>
          <w:tcPr>
            <w:tcW w:w="2665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510D4291">
            <w:pPr>
              <w:spacing w:line="300" w:lineRule="exact"/>
              <w:jc w:val="center"/>
            </w:pPr>
            <w:r>
              <w:rPr>
                <w:rFonts w:ascii="Times New Roman" w:hAnsi="Times New Roman" w:eastAsia="Songti SC"/>
                <w:b w:val="0"/>
                <w:sz w:val="21"/>
              </w:rPr>
              <w:t>GNSS高速跑占比/%</w:t>
            </w:r>
          </w:p>
        </w:tc>
        <w:tc>
          <w:tcPr>
            <w:tcW w:w="1984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1A970419">
            <w:pPr>
              <w:spacing w:line="300" w:lineRule="exact"/>
              <w:jc w:val="center"/>
            </w:pPr>
            <w:r>
              <w:rPr>
                <w:rFonts w:ascii="Times New Roman" w:hAnsi="Times New Roman" w:eastAsia="Songti SC"/>
                <w:b w:val="0"/>
                <w:sz w:val="21"/>
              </w:rPr>
              <w:t>3.56</w:t>
            </w:r>
          </w:p>
        </w:tc>
        <w:tc>
          <w:tcPr>
            <w:tcW w:w="1984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054631FF">
            <w:pPr>
              <w:spacing w:line="300" w:lineRule="exact"/>
              <w:jc w:val="center"/>
            </w:pPr>
            <w:r>
              <w:rPr>
                <w:rFonts w:ascii="Times New Roman" w:hAnsi="Times New Roman" w:eastAsia="Songti SC"/>
                <w:b w:val="0"/>
                <w:sz w:val="21"/>
              </w:rPr>
              <w:t>3.79</w:t>
            </w:r>
          </w:p>
        </w:tc>
        <w:tc>
          <w:tcPr>
            <w:tcW w:w="3855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1AEF86E0">
            <w:pPr>
              <w:spacing w:line="300" w:lineRule="exact"/>
              <w:jc w:val="center"/>
            </w:pPr>
            <w:r>
              <w:rPr>
                <w:rFonts w:ascii="Times New Roman" w:hAnsi="Times New Roman" w:eastAsia="Songti SC"/>
                <w:b w:val="0"/>
                <w:sz w:val="21"/>
              </w:rPr>
              <w:t>0.50（-1.06，2.56）</w:t>
            </w:r>
          </w:p>
        </w:tc>
      </w:tr>
    </w:tbl>
    <w:p w14:paraId="735935DB">
      <w:pPr>
        <w:spacing w:after="0"/>
      </w:pPr>
    </w:p>
    <w:p w14:paraId="4BFD063D">
      <w:pPr>
        <w:keepLines w:val="0"/>
        <w:widowControl/>
        <w:spacing w:before="0" w:after="0" w:line="400" w:lineRule="exact"/>
        <w:ind w:firstLine="480"/>
        <w:jc w:val="both"/>
      </w:pPr>
      <w:r>
        <w:rPr>
          <w:rFonts w:ascii="Times New Roman" w:hAnsi="Times New Roman" w:eastAsia="Songti SC"/>
          <w:b w:val="0"/>
          <w:sz w:val="24"/>
        </w:rPr>
        <w:t>比赛观测时长和总距离低于训练，且配对差值的95%置信区间未跨0；距离密度和GNSS高速跑占比的置信区间均跨0。图5显示多数球员比赛总距离下降，但标准化强度方向并不一致。这说明总距离回答“完成了多少外部负荷”，距离密度和高速跑占比回答“单位暴露或运动结构如何”，不能互相替代。</w:t>
      </w:r>
    </w:p>
    <w:p w14:paraId="5560DB47">
      <w:pPr>
        <w:keepLines w:val="0"/>
        <w:widowControl/>
        <w:spacing w:before="0" w:after="0" w:line="400" w:lineRule="exact"/>
        <w:ind w:firstLine="480"/>
        <w:jc w:val="both"/>
        <w:rPr>
          <w:rFonts w:ascii="Times New Roman" w:hAnsi="Times New Roman" w:eastAsia="Songti SC"/>
          <w:b w:val="0"/>
          <w:sz w:val="24"/>
        </w:rPr>
      </w:pPr>
      <w:r>
        <w:rPr>
          <w:rFonts w:ascii="Times New Roman" w:hAnsi="Times New Roman" w:eastAsia="Songti SC"/>
          <w:b w:val="0"/>
          <w:sz w:val="24"/>
        </w:rPr>
        <w:t>按系统判读规则，本结果应反馈为“比赛窗口更短、总暴露量较低，标准化强度未观察到稳定组内变化”，而不能简化为“比赛表现下降”。教练可继续下钻到个人连线、位置和D1至Dn分段，判断差异来自出场时间、训练任务还是具体高强度片段。</w:t>
      </w:r>
    </w:p>
    <w:p w14:paraId="4D961451">
      <w:pPr>
        <w:keepLines w:val="0"/>
        <w:widowControl/>
        <w:spacing w:before="0" w:after="0" w:line="400" w:lineRule="exact"/>
        <w:ind w:firstLine="480"/>
        <w:jc w:val="both"/>
        <w:rPr>
          <w:rFonts w:ascii="Times New Roman" w:hAnsi="Times New Roman" w:eastAsia="Songti SC"/>
          <w:b w:val="0"/>
          <w:sz w:val="24"/>
        </w:rPr>
      </w:pPr>
    </w:p>
    <w:p w14:paraId="6E30948D">
      <w:pPr>
        <w:keepNext/>
        <w:jc w:val="center"/>
      </w:pPr>
      <w:r>
        <w:drawing>
          <wp:inline distT="0" distB="0" distL="114300" distR="114300">
            <wp:extent cx="5806440" cy="2449195"/>
            <wp:effectExtent l="0" t="0" r="10160" b="1460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06440" cy="2449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F194B3">
      <w:pPr>
        <w:spacing w:before="40" w:after="100"/>
        <w:jc w:val="center"/>
      </w:pPr>
      <w:r>
        <w:rPr>
          <w:rFonts w:ascii="Times New Roman" w:hAnsi="Times New Roman" w:eastAsia="Songti SC"/>
          <w:b w:val="0"/>
          <w:sz w:val="21"/>
        </w:rPr>
        <w:t>图5  U15组训练与比赛的球员内配对分布</w:t>
      </w:r>
    </w:p>
    <w:p w14:paraId="4B809567">
      <w:pPr>
        <w:keepNext/>
        <w:keepLines w:val="0"/>
        <w:widowControl/>
        <w:spacing w:before="0" w:after="0" w:line="400" w:lineRule="exact"/>
        <w:ind w:firstLine="0"/>
        <w:jc w:val="both"/>
        <w:rPr>
          <w:rFonts w:ascii="Times New Roman" w:hAnsi="Times New Roman" w:eastAsia="Songti SC"/>
          <w:b/>
          <w:sz w:val="24"/>
        </w:rPr>
      </w:pPr>
    </w:p>
    <w:p w14:paraId="58F0BBF7">
      <w:pPr>
        <w:keepNext/>
        <w:keepLines w:val="0"/>
        <w:widowControl/>
        <w:spacing w:before="0" w:after="0" w:line="400" w:lineRule="exact"/>
        <w:ind w:firstLine="0"/>
        <w:jc w:val="both"/>
      </w:pPr>
      <w:r>
        <w:rPr>
          <w:rFonts w:ascii="Times New Roman" w:hAnsi="Times New Roman" w:eastAsia="Songti SC"/>
          <w:b/>
          <w:sz w:val="24"/>
        </w:rPr>
        <w:t>4.5 基于个体历史的教练端判读案例</w:t>
      </w:r>
    </w:p>
    <w:p w14:paraId="4EF7F41A">
      <w:pPr>
        <w:keepLines w:val="0"/>
        <w:widowControl/>
        <w:spacing w:before="0" w:after="0" w:line="400" w:lineRule="exact"/>
        <w:ind w:firstLine="480"/>
        <w:jc w:val="both"/>
      </w:pPr>
      <w:r>
        <w:rPr>
          <w:rFonts w:ascii="Times New Roman" w:hAnsi="Times New Roman" w:eastAsia="Songti SC"/>
          <w:b w:val="0"/>
          <w:sz w:val="24"/>
        </w:rPr>
        <w:t>选取U15组匿名球员P03的一次已登记训练记录进行应用复盘。该球员共有6次有效记录；2026年7月12日用户窗口为192.15 min，较个人历史中位数162.55 min增加18.2%，总距离8655.61 m，较个人中位数7436.74 m增加16.4%，但距离密度45.05 m/min，较个人中位数48.05 m/min下降6.3%。因此，系统不把“总距离增加”自动标记为表现改善，而输出“暴露时间延长、总量增加、单位时间强度未同步增加”。</w:t>
      </w:r>
    </w:p>
    <w:p w14:paraId="1815A525">
      <w:pPr>
        <w:keepLines w:val="0"/>
        <w:widowControl/>
        <w:spacing w:before="0" w:after="0" w:line="400" w:lineRule="exact"/>
        <w:ind w:firstLine="480"/>
        <w:jc w:val="both"/>
      </w:pPr>
      <w:r>
        <w:rPr>
          <w:rFonts w:ascii="Times New Roman" w:hAnsi="Times New Roman" w:eastAsia="Songti SC"/>
          <w:b w:val="0"/>
          <w:sz w:val="24"/>
        </w:rPr>
        <w:t>教练端据此形成三步判读：先核对该日训练目标和用户窗口，再下钻D1至Dn分段确认新增距离来自热身、恢复跑还是有效对抗，最后决定下一次同类训练应调整总暴露还是有效对抗时间。若该课目标为容量积累，可保留安排；若目标为高强度对抗，则优先复核对抗分段密度，而不是继续增加整课时长。该案例使用真实匿名记录说明软件如何把指标差值转化为训练问题，但不作为训练调整效果的因果证据。</w:t>
      </w:r>
    </w:p>
    <w:p w14:paraId="77D2B25D">
      <w:pPr>
        <w:keepNext/>
        <w:keepLines w:val="0"/>
        <w:widowControl/>
        <w:spacing w:before="0" w:after="0" w:line="400" w:lineRule="exact"/>
        <w:ind w:firstLine="0"/>
        <w:jc w:val="both"/>
        <w:rPr>
          <w:rFonts w:ascii="Times New Roman" w:hAnsi="Times New Roman" w:eastAsia="Songti SC"/>
          <w:b/>
          <w:sz w:val="24"/>
        </w:rPr>
      </w:pPr>
    </w:p>
    <w:p w14:paraId="713CF3E1">
      <w:pPr>
        <w:keepNext/>
        <w:keepLines w:val="0"/>
        <w:widowControl/>
        <w:spacing w:before="0" w:after="0" w:line="400" w:lineRule="exact"/>
        <w:ind w:firstLine="0"/>
        <w:jc w:val="both"/>
      </w:pPr>
      <w:r>
        <w:rPr>
          <w:rFonts w:ascii="Times New Roman" w:hAnsi="Times New Roman" w:eastAsia="Songti SC"/>
          <w:b/>
          <w:sz w:val="24"/>
        </w:rPr>
        <w:t>4.6 GNSS轨迹独立计算验证</w:t>
      </w:r>
    </w:p>
    <w:p w14:paraId="118DA342">
      <w:pPr>
        <w:keepLines w:val="0"/>
        <w:widowControl/>
        <w:spacing w:before="0" w:after="0" w:line="400" w:lineRule="exact"/>
        <w:ind w:firstLine="480"/>
        <w:jc w:val="both"/>
        <w:rPr>
          <w:rFonts w:ascii="Times New Roman" w:hAnsi="Times New Roman" w:eastAsia="Songti SC"/>
          <w:b w:val="0"/>
          <w:sz w:val="24"/>
        </w:rPr>
      </w:pPr>
      <w:r>
        <w:rPr>
          <w:rFonts w:ascii="Times New Roman" w:hAnsi="Times New Roman" w:eastAsia="Songti SC"/>
          <w:b w:val="0"/>
          <w:sz w:val="24"/>
        </w:rPr>
        <w:t>选取G1中1名球员的完整观测记录验证GNSS计算链。用户窗口为148.62 min，共包含8904个采样点；采样中位间隔为1 s，无大于5 s的连续间断，GNSS有效率为95.09%。按照论文所述Haversine轨迹规则独立复算，总距离为7602.65 m，与平台报告值一致。速度区间和高速跑距离均在同一GNSS坐标时间序列上计算，使距离、速度结构和空间热区具有统一来源。</w:t>
      </w:r>
    </w:p>
    <w:p w14:paraId="35C2C568">
      <w:pPr>
        <w:keepLines w:val="0"/>
        <w:widowControl/>
        <w:spacing w:before="0" w:after="0" w:line="400" w:lineRule="exact"/>
        <w:ind w:firstLine="480"/>
        <w:jc w:val="both"/>
        <w:rPr>
          <w:rFonts w:ascii="Times New Roman" w:hAnsi="Times New Roman" w:eastAsia="Songti SC"/>
          <w:b w:val="0"/>
          <w:sz w:val="24"/>
        </w:rPr>
      </w:pPr>
    </w:p>
    <w:p w14:paraId="581BF4DC">
      <w:pPr>
        <w:keepLines w:val="0"/>
        <w:widowControl/>
        <w:spacing w:before="0" w:after="0" w:line="400" w:lineRule="exact"/>
        <w:ind w:firstLine="480"/>
        <w:jc w:val="both"/>
        <w:rPr>
          <w:rFonts w:ascii="Times New Roman" w:hAnsi="Times New Roman" w:eastAsia="Songti SC"/>
          <w:b w:val="0"/>
          <w:sz w:val="24"/>
        </w:rPr>
      </w:pPr>
    </w:p>
    <w:p w14:paraId="03901E68">
      <w:pPr>
        <w:keepLines w:val="0"/>
        <w:widowControl/>
        <w:spacing w:before="0" w:after="0" w:line="400" w:lineRule="exact"/>
        <w:ind w:firstLine="480"/>
        <w:jc w:val="both"/>
        <w:rPr>
          <w:rFonts w:ascii="Times New Roman" w:hAnsi="Times New Roman" w:eastAsia="Songti SC"/>
          <w:b w:val="0"/>
          <w:sz w:val="24"/>
        </w:rPr>
      </w:pPr>
    </w:p>
    <w:p w14:paraId="784599CC">
      <w:pPr>
        <w:keepLines w:val="0"/>
        <w:widowControl/>
        <w:spacing w:before="0" w:after="0" w:line="400" w:lineRule="exact"/>
        <w:ind w:firstLine="480"/>
        <w:jc w:val="both"/>
        <w:rPr>
          <w:rFonts w:ascii="Times New Roman" w:hAnsi="Times New Roman" w:eastAsia="Songti SC"/>
          <w:b w:val="0"/>
          <w:sz w:val="24"/>
        </w:rPr>
      </w:pPr>
    </w:p>
    <w:p w14:paraId="59B31A76">
      <w:pPr>
        <w:keepNext/>
        <w:jc w:val="center"/>
      </w:pPr>
      <w:r>
        <w:drawing>
          <wp:inline distT="0" distB="0" distL="114300" distR="114300">
            <wp:extent cx="5806440" cy="2045970"/>
            <wp:effectExtent l="0" t="0" r="10160" b="1143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806440" cy="2046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A5034B">
      <w:pPr>
        <w:spacing w:before="40" w:after="100"/>
        <w:jc w:val="center"/>
        <w:rPr>
          <w:rFonts w:ascii="Times New Roman" w:hAnsi="Times New Roman" w:eastAsia="Songti SC"/>
          <w:b w:val="0"/>
          <w:sz w:val="21"/>
        </w:rPr>
      </w:pPr>
      <w:r>
        <w:rPr>
          <w:rFonts w:ascii="Times New Roman" w:hAnsi="Times New Roman" w:eastAsia="Songti SC"/>
          <w:b w:val="0"/>
          <w:sz w:val="21"/>
        </w:rPr>
        <w:t>图6  原始记录的每3分钟移动距离</w:t>
      </w:r>
    </w:p>
    <w:p w14:paraId="00247A6F">
      <w:pPr>
        <w:spacing w:before="40" w:after="100"/>
        <w:jc w:val="center"/>
        <w:rPr>
          <w:rFonts w:ascii="Times New Roman" w:hAnsi="Times New Roman" w:eastAsia="Songti SC"/>
          <w:b w:val="0"/>
          <w:sz w:val="21"/>
        </w:rPr>
      </w:pPr>
    </w:p>
    <w:p w14:paraId="57B47FC7">
      <w:pPr>
        <w:spacing w:before="40" w:after="100"/>
        <w:jc w:val="center"/>
        <w:rPr>
          <w:rFonts w:ascii="Times New Roman" w:hAnsi="Times New Roman" w:eastAsia="Songti SC"/>
          <w:b w:val="0"/>
          <w:sz w:val="21"/>
        </w:rPr>
      </w:pPr>
    </w:p>
    <w:p w14:paraId="29E849A3">
      <w:pPr>
        <w:spacing w:before="40" w:after="100"/>
        <w:jc w:val="center"/>
        <w:rPr>
          <w:rFonts w:ascii="Times New Roman" w:hAnsi="Times New Roman" w:eastAsia="Songti SC"/>
          <w:b w:val="0"/>
          <w:sz w:val="21"/>
        </w:rPr>
      </w:pPr>
    </w:p>
    <w:p w14:paraId="2E8EA801">
      <w:pPr>
        <w:keepNext/>
        <w:spacing w:before="40" w:after="100"/>
        <w:jc w:val="both"/>
        <w:rPr>
          <w:rFonts w:ascii="Times New Roman" w:hAnsi="Times New Roman" w:eastAsia="Songti SC"/>
          <w:b w:val="0"/>
          <w:sz w:val="21"/>
        </w:rPr>
      </w:pPr>
    </w:p>
    <w:p w14:paraId="29D068CC">
      <w:pPr>
        <w:keepNext/>
        <w:spacing w:before="40" w:after="100"/>
        <w:jc w:val="center"/>
      </w:pPr>
      <w:r>
        <w:rPr>
          <w:rFonts w:ascii="Times New Roman" w:hAnsi="Times New Roman" w:eastAsia="Songti SC"/>
          <w:b w:val="0"/>
          <w:sz w:val="21"/>
        </w:rPr>
        <w:t>表8  GNSS轨迹独立计算验证结果</w:t>
      </w:r>
    </w:p>
    <w:tbl>
      <w:tblPr>
        <w:tblStyle w:val="32"/>
        <w:tblW w:w="0" w:type="auto"/>
        <w:jc w:val="center"/>
        <w:tblBorders>
          <w:top w:val="single" w:color="000000" w:sz="12" w:space="0"/>
          <w:left w:val="none" w:color="auto" w:sz="0" w:space="0"/>
          <w:bottom w:val="single" w:color="000000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2"/>
        <w:gridCol w:w="1792"/>
        <w:gridCol w:w="1792"/>
        <w:gridCol w:w="1792"/>
        <w:gridCol w:w="1792"/>
      </w:tblGrid>
      <w:tr w14:paraId="50BB5921">
        <w:trPr>
          <w:tblHeader/>
          <w:jc w:val="center"/>
        </w:trPr>
        <w:tc>
          <w:tcPr>
            <w:tcW w:w="1701" w:type="dxa"/>
            <w:tcBorders>
              <w:bottom w:val="single" w:color="000000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9307A1">
            <w:pPr>
              <w:spacing w:line="300" w:lineRule="exact"/>
              <w:jc w:val="center"/>
            </w:pPr>
            <w:r>
              <w:rPr>
                <w:rFonts w:ascii="Times New Roman" w:hAnsi="Times New Roman" w:eastAsia="Songti SC"/>
                <w:b/>
                <w:sz w:val="21"/>
              </w:rPr>
              <w:t>验证项目</w:t>
            </w:r>
          </w:p>
        </w:tc>
        <w:tc>
          <w:tcPr>
            <w:tcW w:w="2381" w:type="dxa"/>
            <w:tcBorders>
              <w:bottom w:val="single" w:color="000000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C0EC88">
            <w:pPr>
              <w:spacing w:line="300" w:lineRule="exact"/>
              <w:jc w:val="center"/>
            </w:pPr>
            <w:r>
              <w:rPr>
                <w:rFonts w:ascii="Times New Roman" w:hAnsi="Times New Roman" w:eastAsia="Songti SC"/>
                <w:b/>
                <w:sz w:val="21"/>
              </w:rPr>
              <w:t>观测值</w:t>
            </w:r>
          </w:p>
        </w:tc>
        <w:tc>
          <w:tcPr>
            <w:tcW w:w="2381" w:type="dxa"/>
            <w:tcBorders>
              <w:bottom w:val="single" w:color="000000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3B7700">
            <w:pPr>
              <w:spacing w:line="300" w:lineRule="exact"/>
              <w:jc w:val="center"/>
            </w:pPr>
            <w:r>
              <w:rPr>
                <w:rFonts w:ascii="Times New Roman" w:hAnsi="Times New Roman" w:eastAsia="Songti SC"/>
                <w:b/>
                <w:sz w:val="21"/>
              </w:rPr>
              <w:t>计算口径</w:t>
            </w:r>
          </w:p>
        </w:tc>
        <w:tc>
          <w:tcPr>
            <w:tcW w:w="1361" w:type="dxa"/>
            <w:tcBorders>
              <w:bottom w:val="single" w:color="000000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A4E8B3">
            <w:pPr>
              <w:spacing w:line="300" w:lineRule="exact"/>
              <w:jc w:val="center"/>
            </w:pPr>
            <w:r>
              <w:rPr>
                <w:rFonts w:ascii="Times New Roman" w:hAnsi="Times New Roman" w:eastAsia="Songti SC"/>
                <w:b/>
                <w:sz w:val="21"/>
              </w:rPr>
              <w:t>结果</w:t>
            </w:r>
          </w:p>
        </w:tc>
        <w:tc>
          <w:tcPr>
            <w:tcW w:w="2608" w:type="dxa"/>
            <w:tcBorders>
              <w:bottom w:val="single" w:color="000000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ECD305">
            <w:pPr>
              <w:spacing w:line="300" w:lineRule="exact"/>
              <w:jc w:val="center"/>
            </w:pPr>
            <w:r>
              <w:rPr>
                <w:rFonts w:ascii="Times New Roman" w:hAnsi="Times New Roman" w:eastAsia="Songti SC"/>
                <w:b/>
                <w:sz w:val="21"/>
              </w:rPr>
              <w:t>报告用途</w:t>
            </w:r>
          </w:p>
        </w:tc>
      </w:tr>
      <w:tr w14:paraId="0587370E">
        <w:trPr>
          <w:cantSplit/>
          <w:jc w:val="center"/>
        </w:trPr>
        <w:tc>
          <w:tcPr>
            <w:tcW w:w="1701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72D18300">
            <w:pPr>
              <w:spacing w:line="300" w:lineRule="exact"/>
              <w:jc w:val="center"/>
            </w:pPr>
            <w:r>
              <w:rPr>
                <w:rFonts w:ascii="Times New Roman" w:hAnsi="Times New Roman" w:eastAsia="Songti SC"/>
                <w:b w:val="0"/>
                <w:sz w:val="21"/>
              </w:rPr>
              <w:t>用户窗口</w:t>
            </w:r>
          </w:p>
        </w:tc>
        <w:tc>
          <w:tcPr>
            <w:tcW w:w="2381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31021CFD">
            <w:pPr>
              <w:spacing w:line="300" w:lineRule="exact"/>
              <w:jc w:val="center"/>
            </w:pPr>
            <w:r>
              <w:rPr>
                <w:rFonts w:ascii="Times New Roman" w:hAnsi="Times New Roman" w:eastAsia="Songti SC"/>
                <w:b w:val="0"/>
                <w:sz w:val="21"/>
              </w:rPr>
              <w:t>148.62 min</w:t>
            </w:r>
          </w:p>
        </w:tc>
        <w:tc>
          <w:tcPr>
            <w:tcW w:w="2381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6E522256">
            <w:pPr>
              <w:spacing w:line="300" w:lineRule="exact"/>
              <w:jc w:val="center"/>
            </w:pPr>
            <w:r>
              <w:rPr>
                <w:rFonts w:ascii="Times New Roman" w:hAnsi="Times New Roman" w:eastAsia="Songti SC"/>
                <w:b w:val="0"/>
                <w:sz w:val="21"/>
              </w:rPr>
              <w:t>按用户起止时间</w:t>
            </w:r>
          </w:p>
        </w:tc>
        <w:tc>
          <w:tcPr>
            <w:tcW w:w="1361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593F161D">
            <w:pPr>
              <w:spacing w:line="300" w:lineRule="exact"/>
              <w:jc w:val="center"/>
            </w:pPr>
            <w:r>
              <w:rPr>
                <w:rFonts w:ascii="Times New Roman" w:hAnsi="Times New Roman" w:eastAsia="Songti SC"/>
                <w:b w:val="0"/>
                <w:sz w:val="21"/>
              </w:rPr>
              <w:t>一致</w:t>
            </w:r>
          </w:p>
        </w:tc>
        <w:tc>
          <w:tcPr>
            <w:tcW w:w="2608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007AC9FB">
            <w:pPr>
              <w:spacing w:line="300" w:lineRule="exact"/>
              <w:jc w:val="center"/>
            </w:pPr>
            <w:r>
              <w:rPr>
                <w:rFonts w:ascii="Times New Roman" w:hAnsi="Times New Roman" w:eastAsia="Songti SC"/>
                <w:b w:val="0"/>
                <w:sz w:val="21"/>
              </w:rPr>
              <w:t>作为有效时长</w:t>
            </w:r>
          </w:p>
        </w:tc>
      </w:tr>
      <w:tr w14:paraId="0736AF6D">
        <w:trPr>
          <w:cantSplit/>
          <w:jc w:val="center"/>
        </w:trPr>
        <w:tc>
          <w:tcPr>
            <w:tcW w:w="1701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204719C8">
            <w:pPr>
              <w:spacing w:line="300" w:lineRule="exact"/>
              <w:jc w:val="center"/>
            </w:pPr>
            <w:r>
              <w:rPr>
                <w:rFonts w:ascii="Times New Roman" w:hAnsi="Times New Roman" w:eastAsia="Songti SC"/>
                <w:b w:val="0"/>
                <w:sz w:val="21"/>
              </w:rPr>
              <w:t>采样规模</w:t>
            </w:r>
          </w:p>
        </w:tc>
        <w:tc>
          <w:tcPr>
            <w:tcW w:w="2381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0D0C7474">
            <w:pPr>
              <w:spacing w:line="300" w:lineRule="exact"/>
              <w:jc w:val="center"/>
            </w:pPr>
            <w:r>
              <w:rPr>
                <w:rFonts w:ascii="Times New Roman" w:hAnsi="Times New Roman" w:eastAsia="Songti SC"/>
                <w:b w:val="0"/>
                <w:sz w:val="21"/>
              </w:rPr>
              <w:t>8904点</w:t>
            </w:r>
          </w:p>
        </w:tc>
        <w:tc>
          <w:tcPr>
            <w:tcW w:w="2381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5119FFD7">
            <w:pPr>
              <w:spacing w:line="300" w:lineRule="exact"/>
              <w:jc w:val="center"/>
            </w:pPr>
            <w:r>
              <w:rPr>
                <w:rFonts w:ascii="Times New Roman" w:hAnsi="Times New Roman" w:eastAsia="Songti SC"/>
                <w:b w:val="0"/>
                <w:sz w:val="21"/>
              </w:rPr>
              <w:t>完整窗口记录</w:t>
            </w:r>
          </w:p>
        </w:tc>
        <w:tc>
          <w:tcPr>
            <w:tcW w:w="1361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64C04A00">
            <w:pPr>
              <w:spacing w:line="300" w:lineRule="exact"/>
              <w:jc w:val="center"/>
            </w:pPr>
            <w:r>
              <w:rPr>
                <w:rFonts w:ascii="Times New Roman" w:hAnsi="Times New Roman" w:eastAsia="Songti SC"/>
                <w:b w:val="0"/>
                <w:sz w:val="21"/>
              </w:rPr>
              <w:t>一致</w:t>
            </w:r>
          </w:p>
        </w:tc>
        <w:tc>
          <w:tcPr>
            <w:tcW w:w="2608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7CE752DF">
            <w:pPr>
              <w:spacing w:line="300" w:lineRule="exact"/>
              <w:jc w:val="center"/>
            </w:pPr>
            <w:r>
              <w:rPr>
                <w:rFonts w:ascii="Times New Roman" w:hAnsi="Times New Roman" w:eastAsia="Songti SC"/>
                <w:b w:val="0"/>
                <w:sz w:val="21"/>
              </w:rPr>
              <w:t>用于轨迹复算</w:t>
            </w:r>
          </w:p>
        </w:tc>
      </w:tr>
      <w:tr w14:paraId="0140B011">
        <w:trPr>
          <w:cantSplit/>
          <w:jc w:val="center"/>
        </w:trPr>
        <w:tc>
          <w:tcPr>
            <w:tcW w:w="1701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260B1142">
            <w:pPr>
              <w:spacing w:line="300" w:lineRule="exact"/>
              <w:jc w:val="center"/>
            </w:pPr>
            <w:r>
              <w:rPr>
                <w:rFonts w:ascii="Times New Roman" w:hAnsi="Times New Roman" w:eastAsia="Songti SC"/>
                <w:b w:val="0"/>
                <w:sz w:val="21"/>
              </w:rPr>
              <w:t>采样连续性</w:t>
            </w:r>
          </w:p>
        </w:tc>
        <w:tc>
          <w:tcPr>
            <w:tcW w:w="2381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0C76B366">
            <w:pPr>
              <w:spacing w:line="300" w:lineRule="exact"/>
              <w:jc w:val="center"/>
            </w:pPr>
            <w:r>
              <w:rPr>
                <w:rFonts w:ascii="Times New Roman" w:hAnsi="Times New Roman" w:eastAsia="Songti SC"/>
                <w:b w:val="0"/>
                <w:sz w:val="21"/>
              </w:rPr>
              <w:t>中位1 s；无&gt;5 s间断</w:t>
            </w:r>
          </w:p>
        </w:tc>
        <w:tc>
          <w:tcPr>
            <w:tcW w:w="2381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3E25D9AB">
            <w:pPr>
              <w:spacing w:line="300" w:lineRule="exact"/>
              <w:jc w:val="center"/>
            </w:pPr>
            <w:r>
              <w:rPr>
                <w:rFonts w:ascii="Times New Roman" w:hAnsi="Times New Roman" w:eastAsia="Songti SC"/>
                <w:b w:val="0"/>
                <w:sz w:val="21"/>
              </w:rPr>
              <w:t>0.5-1.5 s</w:t>
            </w:r>
          </w:p>
        </w:tc>
        <w:tc>
          <w:tcPr>
            <w:tcW w:w="1361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3CAA4D9A">
            <w:pPr>
              <w:spacing w:line="300" w:lineRule="exact"/>
              <w:jc w:val="center"/>
            </w:pPr>
            <w:r>
              <w:rPr>
                <w:rFonts w:ascii="Times New Roman" w:hAnsi="Times New Roman" w:eastAsia="Songti SC"/>
                <w:b w:val="0"/>
                <w:sz w:val="21"/>
              </w:rPr>
              <w:t>一致</w:t>
            </w:r>
          </w:p>
        </w:tc>
        <w:tc>
          <w:tcPr>
            <w:tcW w:w="2608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7FA9A1D5">
            <w:pPr>
              <w:spacing w:line="300" w:lineRule="exact"/>
              <w:jc w:val="center"/>
            </w:pPr>
            <w:r>
              <w:rPr>
                <w:rFonts w:ascii="Times New Roman" w:hAnsi="Times New Roman" w:eastAsia="Songti SC"/>
                <w:b w:val="0"/>
                <w:sz w:val="21"/>
              </w:rPr>
              <w:t>支持区间速度计算</w:t>
            </w:r>
          </w:p>
        </w:tc>
      </w:tr>
      <w:tr w14:paraId="3CE88004">
        <w:trPr>
          <w:cantSplit/>
          <w:jc w:val="center"/>
        </w:trPr>
        <w:tc>
          <w:tcPr>
            <w:tcW w:w="1701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60578703">
            <w:pPr>
              <w:spacing w:line="300" w:lineRule="exact"/>
              <w:jc w:val="center"/>
            </w:pPr>
            <w:r>
              <w:rPr>
                <w:rFonts w:ascii="Times New Roman" w:hAnsi="Times New Roman" w:eastAsia="Songti SC"/>
                <w:b w:val="0"/>
                <w:sz w:val="21"/>
              </w:rPr>
              <w:t>GNSS有效率</w:t>
            </w:r>
          </w:p>
        </w:tc>
        <w:tc>
          <w:tcPr>
            <w:tcW w:w="2381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0FCF9BD0">
            <w:pPr>
              <w:spacing w:line="300" w:lineRule="exact"/>
              <w:jc w:val="center"/>
            </w:pPr>
            <w:r>
              <w:rPr>
                <w:rFonts w:ascii="Times New Roman" w:hAnsi="Times New Roman" w:eastAsia="Songti SC"/>
                <w:b w:val="0"/>
                <w:sz w:val="21"/>
              </w:rPr>
              <w:t>95.09%</w:t>
            </w:r>
          </w:p>
        </w:tc>
        <w:tc>
          <w:tcPr>
            <w:tcW w:w="2381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47B7C0DE">
            <w:pPr>
              <w:spacing w:line="300" w:lineRule="exact"/>
              <w:jc w:val="center"/>
            </w:pPr>
            <w:r>
              <w:rPr>
                <w:rFonts w:ascii="Times New Roman" w:hAnsi="Times New Roman" w:eastAsia="Songti SC"/>
                <w:b w:val="0"/>
                <w:sz w:val="21"/>
              </w:rPr>
              <w:t>不少于90%</w:t>
            </w:r>
          </w:p>
        </w:tc>
        <w:tc>
          <w:tcPr>
            <w:tcW w:w="1361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208BE1D2">
            <w:pPr>
              <w:spacing w:line="300" w:lineRule="exact"/>
              <w:jc w:val="center"/>
            </w:pPr>
            <w:r>
              <w:rPr>
                <w:rFonts w:ascii="Times New Roman" w:hAnsi="Times New Roman" w:eastAsia="Songti SC"/>
                <w:b w:val="0"/>
                <w:sz w:val="21"/>
              </w:rPr>
              <w:t>一致</w:t>
            </w:r>
          </w:p>
        </w:tc>
        <w:tc>
          <w:tcPr>
            <w:tcW w:w="2608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6E4DA72C">
            <w:pPr>
              <w:spacing w:line="300" w:lineRule="exact"/>
              <w:jc w:val="center"/>
            </w:pPr>
            <w:r>
              <w:rPr>
                <w:rFonts w:ascii="Times New Roman" w:hAnsi="Times New Roman" w:eastAsia="Songti SC"/>
                <w:b w:val="0"/>
                <w:sz w:val="21"/>
              </w:rPr>
              <w:t>支持轨迹与热区分析</w:t>
            </w:r>
          </w:p>
        </w:tc>
      </w:tr>
      <w:tr w14:paraId="780D3013">
        <w:trPr>
          <w:cantSplit/>
          <w:jc w:val="center"/>
        </w:trPr>
        <w:tc>
          <w:tcPr>
            <w:tcW w:w="1701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23A4956B">
            <w:pPr>
              <w:spacing w:line="300" w:lineRule="exact"/>
              <w:jc w:val="center"/>
            </w:pPr>
            <w:r>
              <w:rPr>
                <w:rFonts w:ascii="Times New Roman" w:hAnsi="Times New Roman" w:eastAsia="Songti SC"/>
                <w:b w:val="0"/>
                <w:sz w:val="21"/>
              </w:rPr>
              <w:t>轨迹复算</w:t>
            </w:r>
          </w:p>
        </w:tc>
        <w:tc>
          <w:tcPr>
            <w:tcW w:w="2381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055323FD">
            <w:pPr>
              <w:spacing w:line="300" w:lineRule="exact"/>
              <w:jc w:val="center"/>
            </w:pPr>
            <w:r>
              <w:rPr>
                <w:rFonts w:ascii="Times New Roman" w:hAnsi="Times New Roman" w:eastAsia="Songti SC"/>
                <w:b w:val="0"/>
                <w:sz w:val="21"/>
              </w:rPr>
              <w:t>7602.65 m</w:t>
            </w:r>
          </w:p>
        </w:tc>
        <w:tc>
          <w:tcPr>
            <w:tcW w:w="2381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72C4A7C7">
            <w:pPr>
              <w:spacing w:line="300" w:lineRule="exact"/>
              <w:jc w:val="center"/>
            </w:pPr>
            <w:r>
              <w:rPr>
                <w:rFonts w:ascii="Times New Roman" w:hAnsi="Times New Roman" w:eastAsia="Songti SC"/>
                <w:b w:val="0"/>
                <w:sz w:val="21"/>
              </w:rPr>
              <w:t>与平台报告值一致</w:t>
            </w:r>
          </w:p>
        </w:tc>
        <w:tc>
          <w:tcPr>
            <w:tcW w:w="1361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100437AD">
            <w:pPr>
              <w:spacing w:line="300" w:lineRule="exact"/>
              <w:jc w:val="center"/>
            </w:pPr>
            <w:r>
              <w:rPr>
                <w:rFonts w:ascii="Times New Roman" w:hAnsi="Times New Roman" w:eastAsia="Songti SC"/>
                <w:b w:val="0"/>
                <w:sz w:val="21"/>
              </w:rPr>
              <w:t>一致</w:t>
            </w:r>
          </w:p>
        </w:tc>
        <w:tc>
          <w:tcPr>
            <w:tcW w:w="2608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3B9968DE">
            <w:pPr>
              <w:spacing w:line="300" w:lineRule="exact"/>
              <w:jc w:val="center"/>
            </w:pPr>
            <w:r>
              <w:rPr>
                <w:rFonts w:ascii="Times New Roman" w:hAnsi="Times New Roman" w:eastAsia="Songti SC"/>
                <w:b w:val="0"/>
                <w:sz w:val="21"/>
              </w:rPr>
              <w:t>总距离计算验证</w:t>
            </w:r>
          </w:p>
        </w:tc>
      </w:tr>
    </w:tbl>
    <w:p w14:paraId="2A2396DB">
      <w:pPr>
        <w:spacing w:after="0"/>
      </w:pPr>
    </w:p>
    <w:p w14:paraId="1AE4D1B0">
      <w:pPr>
        <w:keepLines w:val="0"/>
        <w:widowControl/>
        <w:spacing w:before="0" w:after="0" w:line="400" w:lineRule="exact"/>
        <w:ind w:firstLine="480"/>
        <w:jc w:val="both"/>
      </w:pPr>
      <w:r>
        <w:rPr>
          <w:rFonts w:ascii="Times New Roman" w:hAnsi="Times New Roman" w:eastAsia="Songti SC"/>
          <w:b w:val="0"/>
          <w:sz w:val="24"/>
        </w:rPr>
        <w:t>验证结果表明，ATHLOS报告与独立GNSS轨迹复算采用一致的时间窗口和距离规则。论文后续涉及的距离密度以7602.65 m除以有效分钟计算，速度区间由相邻GNSS位移和采样间隔计算，高速跑占比由高速区间距离除以总距离计算，从而避免不同来源指标之间的口径差异。</w:t>
      </w:r>
    </w:p>
    <w:p w14:paraId="44B216E8">
      <w:pPr>
        <w:keepNext/>
        <w:keepLines w:val="0"/>
        <w:widowControl/>
        <w:spacing w:before="0" w:after="0" w:line="400" w:lineRule="exact"/>
        <w:ind w:firstLine="0"/>
        <w:jc w:val="both"/>
        <w:rPr>
          <w:rFonts w:ascii="Times New Roman" w:hAnsi="Times New Roman" w:eastAsia="Songti SC"/>
          <w:b/>
          <w:sz w:val="24"/>
        </w:rPr>
      </w:pPr>
    </w:p>
    <w:p w14:paraId="36E654DF">
      <w:pPr>
        <w:keepNext/>
        <w:keepLines w:val="0"/>
        <w:widowControl/>
        <w:spacing w:before="0" w:after="0" w:line="400" w:lineRule="exact"/>
        <w:ind w:firstLine="0"/>
        <w:jc w:val="both"/>
      </w:pPr>
      <w:r>
        <w:rPr>
          <w:rFonts w:ascii="Times New Roman" w:hAnsi="Times New Roman" w:eastAsia="Songti SC"/>
          <w:b/>
          <w:sz w:val="24"/>
        </w:rPr>
        <w:t>4.7 系统监测与表现评估的分级输出</w:t>
      </w:r>
    </w:p>
    <w:p w14:paraId="2EC32E6B">
      <w:pPr>
        <w:keepLines w:val="0"/>
        <w:widowControl/>
        <w:spacing w:before="0" w:after="0" w:line="400" w:lineRule="exact"/>
        <w:ind w:firstLine="480"/>
        <w:jc w:val="both"/>
      </w:pPr>
      <w:r>
        <w:rPr>
          <w:rFonts w:ascii="Times New Roman" w:hAnsi="Times New Roman" w:eastAsia="Songti SC"/>
          <w:b w:val="0"/>
          <w:sz w:val="24"/>
        </w:rPr>
        <w:t>综合事件关联和团队覆盖，系统形成三级应用输出。第一级为个人监测：343个有效球员日可显示时长、总距离、距离密度、速度区间和活动热区，并与个人历史中位数比较。第二级为情境评估：140个已关联事件的球员日可按训练或比赛比较，其中U15组20名球员具备配对条件。第三级为团队评估：U15组8个覆盖率达到80%的日期可输出具有全队含义的单日汇总，其他日期用于个人或位置组复盘。</w:t>
      </w:r>
    </w:p>
    <w:p w14:paraId="50C4CEA0">
      <w:pPr>
        <w:keepLines w:val="0"/>
        <w:widowControl/>
        <w:spacing w:before="0" w:after="0" w:line="400" w:lineRule="exact"/>
        <w:ind w:firstLine="480"/>
        <w:jc w:val="both"/>
      </w:pPr>
      <w:r>
        <w:rPr>
          <w:rFonts w:ascii="Times New Roman" w:hAnsi="Times New Roman" w:eastAsia="Songti SC"/>
          <w:b w:val="0"/>
          <w:sz w:val="24"/>
        </w:rPr>
        <w:t>三级报告均保留事件日期、用户窗口、训练分段和参照对象。教练既能看到单次训练完成了多少外部负荷，也能判断变化来自观测时长、单位时间强度、高速跑结构还是位置任务，从而把智能穿戴数据转化为训练安排和赛后复盘所需的信息。</w:t>
      </w:r>
    </w:p>
    <w:p w14:paraId="58926879">
      <w:pPr>
        <w:keepNext/>
        <w:keepLines w:val="0"/>
        <w:widowControl/>
        <w:spacing w:before="0" w:after="0" w:line="400" w:lineRule="exact"/>
        <w:ind w:firstLine="0"/>
        <w:jc w:val="both"/>
        <w:rPr>
          <w:rFonts w:ascii="Times New Roman" w:hAnsi="Times New Roman" w:eastAsia="Songti SC"/>
          <w:b/>
          <w:sz w:val="24"/>
        </w:rPr>
      </w:pPr>
    </w:p>
    <w:p w14:paraId="462EADC7">
      <w:pPr>
        <w:keepNext/>
        <w:keepLines w:val="0"/>
        <w:widowControl/>
        <w:spacing w:before="0" w:after="0" w:line="400" w:lineRule="exact"/>
        <w:ind w:firstLine="0"/>
        <w:jc w:val="both"/>
      </w:pPr>
      <w:r>
        <w:rPr>
          <w:rFonts w:ascii="Times New Roman" w:hAnsi="Times New Roman" w:eastAsia="Songti SC"/>
          <w:b/>
          <w:sz w:val="24"/>
        </w:rPr>
        <w:t>5. 讨论</w:t>
      </w:r>
    </w:p>
    <w:p w14:paraId="35306942">
      <w:pPr>
        <w:keepNext/>
        <w:keepLines w:val="0"/>
        <w:widowControl/>
        <w:spacing w:before="0" w:after="0" w:line="400" w:lineRule="exact"/>
        <w:ind w:firstLine="0"/>
        <w:jc w:val="both"/>
      </w:pPr>
      <w:r>
        <w:rPr>
          <w:rFonts w:ascii="Times New Roman" w:hAnsi="Times New Roman" w:eastAsia="Songti SC"/>
          <w:b/>
          <w:sz w:val="24"/>
        </w:rPr>
        <w:t>5.1 主要发现与理论意义</w:t>
      </w:r>
    </w:p>
    <w:p w14:paraId="4BB1170D">
      <w:pPr>
        <w:keepLines w:val="0"/>
        <w:widowControl/>
        <w:spacing w:before="0" w:after="0" w:line="400" w:lineRule="exact"/>
        <w:ind w:firstLine="480"/>
        <w:jc w:val="both"/>
      </w:pPr>
      <w:r>
        <w:rPr>
          <w:rFonts w:ascii="Times New Roman" w:hAnsi="Times New Roman" w:eastAsia="Songti SC"/>
          <w:b w:val="0"/>
          <w:sz w:val="24"/>
        </w:rPr>
        <w:t>本研究显示，智能穿戴设备的训练应用需要依次经过时间对齐、区间切片、GNSS指标计算、参照选择和情境解释。ATHLOS把设备毫秒时间戳、事件日期、用户窗口、训练分段和球员子窗口组织为可追溯时间链，并据此生成总量、强度和情境结果。这一流程把“训练监测”界定为对运动暴露的连续测量，把“表现评估”界定为在明确时间、GNSS口径与参照条件下对差异的解释。</w:t>
      </w:r>
    </w:p>
    <w:p w14:paraId="6A5F354E">
      <w:pPr>
        <w:keepLines w:val="0"/>
        <w:widowControl/>
        <w:spacing w:before="0" w:after="0" w:line="400" w:lineRule="exact"/>
        <w:ind w:firstLine="480"/>
        <w:jc w:val="both"/>
      </w:pPr>
      <w:r>
        <w:rPr>
          <w:rFonts w:ascii="Times New Roman" w:hAnsi="Times New Roman" w:eastAsia="Songti SC"/>
          <w:b w:val="0"/>
          <w:sz w:val="24"/>
        </w:rPr>
        <w:t>事件关联和团队覆盖决定了报告的分析层级。3队设备绑定率达到98.5%，其中140个球员日具备明确训练或比赛情境，U15组8个日期达到团队覆盖标准。系统据此形成“设备采集—时间对齐—GNSS计算—历史比较—教练反馈”的应用链：个人记录用于纵向跟踪，事件记录用于训练—比赛比较，覆盖充分的日期用于团队汇总。</w:t>
      </w:r>
    </w:p>
    <w:p w14:paraId="608F3FC5">
      <w:pPr>
        <w:keepLines w:val="0"/>
        <w:widowControl/>
        <w:spacing w:before="0" w:after="0" w:line="400" w:lineRule="exact"/>
        <w:ind w:firstLine="480"/>
        <w:jc w:val="both"/>
      </w:pPr>
      <w:r>
        <w:rPr>
          <w:rFonts w:ascii="Times New Roman" w:hAnsi="Times New Roman" w:eastAsia="Songti SC"/>
          <w:b w:val="0"/>
          <w:sz w:val="24"/>
        </w:rPr>
        <w:t>从统计信息化角度，球员日不是天然独立的分析单位。G1单名球员最多贡献9条记录，G2球员观测次数中位数为9次；若直接合并343个球员日，记录多的球员和日期会决定组间结果。先计算球员内中位数，再以球员为单位比较，能够降低重复测量失衡，但仍不能消除球队与梯队共线。论文中保留置换P值是为了描述样本分布差异，而不是把其转译为年龄生理规律。</w:t>
      </w:r>
    </w:p>
    <w:p w14:paraId="3F27633B">
      <w:pPr>
        <w:keepNext/>
        <w:keepLines w:val="0"/>
        <w:widowControl/>
        <w:spacing w:before="0" w:after="0" w:line="400" w:lineRule="exact"/>
        <w:ind w:firstLine="0"/>
        <w:jc w:val="both"/>
      </w:pPr>
      <w:r>
        <w:rPr>
          <w:rFonts w:ascii="Times New Roman" w:hAnsi="Times New Roman" w:eastAsia="Songti SC"/>
          <w:b/>
          <w:sz w:val="24"/>
        </w:rPr>
        <w:t>5.2 表现评估中总量、强度与情境的区分</w:t>
      </w:r>
    </w:p>
    <w:p w14:paraId="36C92A86">
      <w:pPr>
        <w:keepLines w:val="0"/>
        <w:widowControl/>
        <w:spacing w:before="0" w:after="0" w:line="400" w:lineRule="exact"/>
        <w:ind w:firstLine="480"/>
        <w:jc w:val="both"/>
      </w:pPr>
      <w:r>
        <w:rPr>
          <w:rFonts w:ascii="Times New Roman" w:hAnsi="Times New Roman" w:eastAsia="Songti SC"/>
          <w:b w:val="0"/>
          <w:sz w:val="24"/>
        </w:rPr>
        <w:t>U15组配对结果显示，比赛总距离较训练低约2776 m，但距离密度差值较小且区间跨0。这并不意味着比赛负荷较低，而是说明用户划定的训练窗口更长。总量指标适合描述单次暴露和周期累积，时间标准化指标适合比较不同窗口的运动强度；二者还需结合训练内容、位置任务和内部反应解释[6-8]。报告界面应并列展示时长、总量和密度，并允许下钻至事件分段，避免用一个排名替代训练判断。</w:t>
      </w:r>
    </w:p>
    <w:p w14:paraId="6D3D9245">
      <w:pPr>
        <w:keepLines w:val="0"/>
        <w:widowControl/>
        <w:spacing w:before="0" w:after="0" w:line="400" w:lineRule="exact"/>
        <w:ind w:firstLine="480"/>
        <w:jc w:val="both"/>
      </w:pPr>
      <w:r>
        <w:rPr>
          <w:rFonts w:ascii="Times New Roman" w:hAnsi="Times New Roman" w:eastAsia="Songti SC"/>
          <w:b w:val="0"/>
          <w:sz w:val="24"/>
        </w:rPr>
        <w:t>G3的距离密度高于其他组，同样不能直接解释为低龄组强度更高。该组有效记录以比赛日期为主，而G1记录以个人纵向记录为主，情境构成不同；此外统一速度阈值未必适配不同成熟度球员。既有研究表明年龄和位置会改变高速跑区间的解释[17]。跨年龄应用应优先建立队内纵向基线，后续可依据个人赛季GNSS峰值进一步设置相对速度区间。</w:t>
      </w:r>
    </w:p>
    <w:p w14:paraId="4BF8FB40">
      <w:pPr>
        <w:keepNext/>
        <w:keepLines w:val="0"/>
        <w:widowControl/>
        <w:spacing w:before="0" w:after="0" w:line="400" w:lineRule="exact"/>
        <w:ind w:firstLine="0"/>
        <w:jc w:val="both"/>
        <w:rPr>
          <w:rFonts w:ascii="Times New Roman" w:hAnsi="Times New Roman" w:eastAsia="Songti SC"/>
          <w:b/>
          <w:sz w:val="24"/>
        </w:rPr>
      </w:pPr>
    </w:p>
    <w:p w14:paraId="085EB637">
      <w:pPr>
        <w:keepNext/>
        <w:keepLines w:val="0"/>
        <w:widowControl/>
        <w:spacing w:before="0" w:after="0" w:line="400" w:lineRule="exact"/>
        <w:ind w:firstLine="0"/>
        <w:jc w:val="both"/>
      </w:pPr>
      <w:r>
        <w:rPr>
          <w:rFonts w:ascii="Times New Roman" w:hAnsi="Times New Roman" w:eastAsia="Songti SC"/>
          <w:b/>
          <w:sz w:val="24"/>
        </w:rPr>
        <w:t>5.3 时间链与软件平台的应用价值</w:t>
      </w:r>
    </w:p>
    <w:p w14:paraId="2AFBDDFF">
      <w:pPr>
        <w:keepLines w:val="0"/>
        <w:widowControl/>
        <w:spacing w:before="0" w:after="0" w:line="400" w:lineRule="exact"/>
        <w:ind w:firstLine="480"/>
        <w:jc w:val="both"/>
      </w:pPr>
      <w:r>
        <w:rPr>
          <w:rFonts w:ascii="Times New Roman" w:hAnsi="Times New Roman" w:eastAsia="Songti SC"/>
          <w:b w:val="0"/>
          <w:sz w:val="24"/>
        </w:rPr>
        <w:t>ATHLOS的时间设计解决了三个实际问题。第一，设备数据使用统一毫秒尺度，避免秒与毫秒混用造成区间偏移；第二，教练可以按训练任务建立多个分段，并为迟到、提前离场或替补球员设置独立子窗口，避免把未参与时间计入负荷；第三，报告同时保留完整首尾时刻和分段有效时长，使总距离与距离密度具有明确分母。时间选择本身也是研究变量，跨事件比较应固定时区、事件类型、区间规则和有效时长口径。</w:t>
      </w:r>
    </w:p>
    <w:p w14:paraId="5A41D278">
      <w:pPr>
        <w:keepLines w:val="0"/>
        <w:widowControl/>
        <w:spacing w:before="0" w:after="0" w:line="400" w:lineRule="exact"/>
        <w:ind w:firstLine="480"/>
        <w:jc w:val="both"/>
      </w:pPr>
      <w:r>
        <w:rPr>
          <w:rFonts w:ascii="Times New Roman" w:hAnsi="Times New Roman" w:eastAsia="Songti SC"/>
          <w:b w:val="0"/>
          <w:sz w:val="24"/>
        </w:rPr>
        <w:t>真实世界应用的关键在于把事件、名单、用户窗口和训练任务持续关联。软件可在训练开始前生成采集名单，在训练结束时提示事件归档和覆盖情况，并保存窗口与分段修改记录。事件、设备时间和训练任务稳定关联后，训练课表、视频与教练标注即可作为表现评估和智能模型的情境标签。</w:t>
      </w:r>
    </w:p>
    <w:p w14:paraId="1F8EC3D0">
      <w:pPr>
        <w:keepLines w:val="0"/>
        <w:widowControl/>
        <w:spacing w:before="0" w:after="0" w:line="400" w:lineRule="exact"/>
        <w:ind w:firstLine="480"/>
        <w:jc w:val="both"/>
      </w:pPr>
      <w:r>
        <w:rPr>
          <w:rFonts w:ascii="Times New Roman" w:hAnsi="Times New Roman" w:eastAsia="Songti SC"/>
          <w:b w:val="0"/>
          <w:sz w:val="24"/>
        </w:rPr>
        <w:t>GNSS统一口径使总距离、距离密度、速度区间和活动热区能够在同一轨迹上相互校验。完整个案的独立复算结果与平台报告一致，支持系统将GNSS作为运动表现计算的主数据源。后续可在此基础上叠加RPE、心率和视频标签，形成外部负荷、内部反应和技战术情境的多维训练画像[6-8,19]。</w:t>
      </w:r>
    </w:p>
    <w:p w14:paraId="532447B7">
      <w:pPr>
        <w:keepNext/>
        <w:keepLines w:val="0"/>
        <w:widowControl/>
        <w:spacing w:before="0" w:after="0" w:line="400" w:lineRule="exact"/>
        <w:ind w:firstLine="0"/>
        <w:jc w:val="both"/>
        <w:rPr>
          <w:rFonts w:ascii="Times New Roman" w:hAnsi="Times New Roman" w:eastAsia="Songti SC"/>
          <w:b/>
          <w:sz w:val="24"/>
        </w:rPr>
      </w:pPr>
    </w:p>
    <w:p w14:paraId="11531702">
      <w:pPr>
        <w:keepNext/>
        <w:keepLines w:val="0"/>
        <w:widowControl/>
        <w:spacing w:before="0" w:after="0" w:line="400" w:lineRule="exact"/>
        <w:ind w:firstLine="0"/>
        <w:jc w:val="both"/>
      </w:pPr>
      <w:r>
        <w:rPr>
          <w:rFonts w:ascii="Times New Roman" w:hAnsi="Times New Roman" w:eastAsia="Songti SC"/>
          <w:b/>
          <w:sz w:val="24"/>
        </w:rPr>
        <w:t>5.4 数据权益、局限与应用边界</w:t>
      </w:r>
    </w:p>
    <w:p w14:paraId="46B40C69">
      <w:pPr>
        <w:keepLines w:val="0"/>
        <w:widowControl/>
        <w:spacing w:before="0" w:after="0" w:line="400" w:lineRule="exact"/>
        <w:ind w:firstLine="480"/>
        <w:jc w:val="both"/>
      </w:pPr>
      <w:r>
        <w:rPr>
          <w:rFonts w:ascii="Times New Roman" w:hAnsi="Times New Roman" w:eastAsia="Songti SC"/>
          <w:b w:val="0"/>
          <w:sz w:val="24"/>
        </w:rPr>
        <w:t>青少年表现数据同时具有个人信息、健康相关信息和竞技价值。系统</w:t>
      </w:r>
      <w:r>
        <w:rPr>
          <w:rFonts w:hint="eastAsia" w:ascii="Times New Roman" w:hAnsi="Times New Roman"/>
          <w:b w:val="0"/>
          <w:sz w:val="24"/>
          <w:lang w:val="en-US" w:eastAsia="zh-CN"/>
        </w:rPr>
        <w:t>已</w:t>
      </w:r>
      <w:r>
        <w:rPr>
          <w:rFonts w:ascii="Times New Roman" w:hAnsi="Times New Roman" w:eastAsia="Songti SC"/>
          <w:b w:val="0"/>
          <w:sz w:val="24"/>
        </w:rPr>
        <w:t>遵循最小必要原则，研究和对外展示使用匿名编号，导出过程记录操作者、时间和用途，并建立监护授权、访问、更正、保存期限和退出机制[12-13]。本文将ATHLOS定位为训练监测和表现评估工具，所有报告均服务于训练复盘、负荷安排和球员纵向发展。</w:t>
      </w:r>
    </w:p>
    <w:p w14:paraId="3DAFB800">
      <w:pPr>
        <w:keepLines w:val="0"/>
        <w:widowControl/>
        <w:spacing w:before="0" w:after="0" w:line="400" w:lineRule="exact"/>
        <w:ind w:firstLine="480"/>
        <w:jc w:val="both"/>
      </w:pPr>
      <w:r>
        <w:rPr>
          <w:rFonts w:ascii="Times New Roman" w:hAnsi="Times New Roman" w:eastAsia="Songti SC"/>
          <w:b w:val="0"/>
          <w:sz w:val="24"/>
        </w:rPr>
        <w:t>本研究存在四项限制。第一，每个梯队仅1支球队，组间差异与球队、教练和情境共线，不能建立年龄常模。第二，140个球员日具有事件标签，训练—比赛配对分析集中于U15组。第三，统一速度区间主要用于本系统内的训练描述，不同年龄和成熟度球员仍需逐步建立个体相对阈值。第四，本文聚焦GNSS外部负荷，尚未同步纳入心率、RPE、恢复和视频技战术标签，因而不讨论内部负荷、疲劳、伤病风险或训练干预效果。</w:t>
      </w:r>
    </w:p>
    <w:p w14:paraId="0DD9168D">
      <w:pPr>
        <w:keepNext/>
        <w:keepLines w:val="0"/>
        <w:widowControl/>
        <w:spacing w:before="0" w:after="0" w:line="400" w:lineRule="exact"/>
        <w:ind w:firstLine="0"/>
        <w:jc w:val="both"/>
        <w:rPr>
          <w:rFonts w:ascii="Times New Roman" w:hAnsi="Times New Roman" w:eastAsia="Songti SC"/>
          <w:b/>
          <w:sz w:val="24"/>
        </w:rPr>
      </w:pPr>
    </w:p>
    <w:p w14:paraId="5A4A083C">
      <w:pPr>
        <w:keepNext/>
        <w:keepLines w:val="0"/>
        <w:widowControl/>
        <w:spacing w:before="0" w:after="0" w:line="400" w:lineRule="exact"/>
        <w:ind w:firstLine="0"/>
        <w:jc w:val="both"/>
      </w:pPr>
      <w:r>
        <w:rPr>
          <w:rFonts w:ascii="Times New Roman" w:hAnsi="Times New Roman" w:eastAsia="Songti SC"/>
          <w:b/>
          <w:sz w:val="24"/>
        </w:rPr>
        <w:t>6. 结论</w:t>
      </w:r>
    </w:p>
    <w:p w14:paraId="68D10B95">
      <w:pPr>
        <w:keepLines w:val="0"/>
        <w:widowControl/>
        <w:spacing w:before="0" w:after="0" w:line="400" w:lineRule="exact"/>
        <w:ind w:firstLine="480"/>
        <w:jc w:val="both"/>
      </w:pPr>
      <w:r>
        <w:rPr>
          <w:rFonts w:ascii="Times New Roman" w:hAnsi="Times New Roman" w:eastAsia="Songti SC"/>
          <w:b w:val="0"/>
          <w:sz w:val="24"/>
        </w:rPr>
        <w:t>第一，ATHLOS已形成可复现的训练时间链：以</w:t>
      </w:r>
      <w:r>
        <w:rPr>
          <w:rFonts w:hint="eastAsia" w:ascii="Times New Roman" w:hAnsi="Times New Roman"/>
          <w:b w:val="0"/>
          <w:sz w:val="24"/>
          <w:lang w:val="en-US" w:eastAsia="zh-CN"/>
        </w:rPr>
        <w:t>东八区</w:t>
      </w:r>
      <w:r>
        <w:rPr>
          <w:rFonts w:ascii="Times New Roman" w:hAnsi="Times New Roman" w:eastAsia="Songti SC"/>
          <w:b w:val="0"/>
          <w:sz w:val="24"/>
        </w:rPr>
        <w:t>日期，以Epoch毫秒对齐设备记录，由用户划定事件总窗口、训练分段和球员子窗口，后端按区间切片并分别计算有效暴露和报告首尾时刻。该机制使训练指标能够对应到具体球员、任务和时间片段，而不是笼统对应某一天。</w:t>
      </w:r>
    </w:p>
    <w:p w14:paraId="3D9D27C2">
      <w:pPr>
        <w:keepLines w:val="0"/>
        <w:widowControl/>
        <w:spacing w:before="0" w:after="0" w:line="400" w:lineRule="exact"/>
        <w:ind w:firstLine="480"/>
        <w:jc w:val="both"/>
      </w:pPr>
      <w:r>
        <w:rPr>
          <w:rFonts w:ascii="Times New Roman" w:hAnsi="Times New Roman" w:eastAsia="Songti SC"/>
          <w:b w:val="0"/>
          <w:sz w:val="24"/>
        </w:rPr>
        <w:t>第二，系统中的表现评估应区分总量、强度和情境。U15组比赛总距离下降主要伴随用户窗口缩短，而距离密度和GNSS高速跑占比未呈稳定方向，因此正确结论是“暴露量不同、标准化强度变化不确定”，不是“比赛表现下降”。个体案例进一步说明，总距离增加可能仅来自窗口延长；跨梯队结果只适合建立队内历史基线，不支持直接年龄排名。</w:t>
      </w:r>
    </w:p>
    <w:p w14:paraId="2D4815B6">
      <w:pPr>
        <w:keepLines w:val="0"/>
        <w:widowControl/>
        <w:spacing w:before="0" w:after="0" w:line="400" w:lineRule="exact"/>
        <w:ind w:firstLine="480"/>
        <w:jc w:val="both"/>
        <w:rPr>
          <w:rFonts w:hint="eastAsia" w:ascii="Times New Roman" w:hAnsi="Times New Roman" w:eastAsia="Songti SC"/>
          <w:b/>
          <w:sz w:val="24"/>
          <w:lang w:eastAsia="zh-CN"/>
        </w:rPr>
      </w:pPr>
      <w:r>
        <w:rPr>
          <w:rFonts w:ascii="Times New Roman" w:hAnsi="Times New Roman" w:eastAsia="Songti SC"/>
          <w:b w:val="0"/>
          <w:sz w:val="24"/>
        </w:rPr>
        <w:t>第三，ATHLOS以GNSS轨迹作为运动表现计算的统一来源，并按个人监测、情境评估和团队评估分级输出。报告同时保留时间窗口、训练分段、历史参照和位置任务，使教练能够从总量、强度和空间结构三个层面理解训练变化，把智能穿戴数据转化为可执行的训练反馈。</w:t>
      </w:r>
    </w:p>
    <w:p w14:paraId="09051D08">
      <w:pPr>
        <w:keepLines w:val="0"/>
        <w:widowControl/>
        <w:spacing w:before="0" w:after="0" w:line="340" w:lineRule="exact"/>
        <w:ind w:left="480" w:firstLine="0"/>
        <w:jc w:val="left"/>
        <w:rPr>
          <w:rFonts w:ascii="Times New Roman" w:hAnsi="Times New Roman" w:eastAsia="Songti SC"/>
          <w:b w:val="0"/>
          <w:sz w:val="24"/>
        </w:rPr>
      </w:pPr>
    </w:p>
    <w:p w14:paraId="27D0EF4A">
      <w:pPr>
        <w:keepLines w:val="0"/>
        <w:widowControl/>
        <w:spacing w:before="0" w:after="0" w:line="340" w:lineRule="exact"/>
        <w:ind w:left="480" w:firstLine="0"/>
        <w:jc w:val="left"/>
        <w:rPr>
          <w:rFonts w:ascii="Times New Roman" w:hAnsi="Times New Roman" w:eastAsia="Songti SC"/>
          <w:b w:val="0"/>
          <w:sz w:val="24"/>
        </w:rPr>
      </w:pPr>
    </w:p>
    <w:p w14:paraId="6AFCE01B">
      <w:pPr>
        <w:keepLines w:val="0"/>
        <w:widowControl/>
        <w:spacing w:before="0" w:after="0" w:line="340" w:lineRule="exact"/>
        <w:ind w:left="480" w:firstLine="0"/>
        <w:jc w:val="left"/>
        <w:rPr>
          <w:rFonts w:ascii="Times New Roman" w:hAnsi="Times New Roman" w:eastAsia="Songti SC"/>
          <w:b w:val="0"/>
          <w:sz w:val="24"/>
        </w:rPr>
      </w:pPr>
    </w:p>
    <w:p w14:paraId="26F0EE36">
      <w:pPr>
        <w:keepLines w:val="0"/>
        <w:widowControl/>
        <w:spacing w:before="0" w:after="0" w:line="340" w:lineRule="exact"/>
        <w:ind w:left="480" w:firstLine="0"/>
        <w:jc w:val="left"/>
        <w:rPr>
          <w:rFonts w:ascii="Times New Roman" w:hAnsi="Times New Roman" w:eastAsia="Songti SC"/>
          <w:b w:val="0"/>
          <w:sz w:val="24"/>
        </w:rPr>
      </w:pPr>
    </w:p>
    <w:p w14:paraId="4FA08C71">
      <w:pPr>
        <w:keepLines w:val="0"/>
        <w:widowControl/>
        <w:spacing w:before="0" w:after="0" w:line="340" w:lineRule="exact"/>
        <w:jc w:val="left"/>
        <w:rPr>
          <w:rFonts w:ascii="Times New Roman" w:hAnsi="Times New Roman" w:eastAsia="Songti SC"/>
          <w:b w:val="0"/>
          <w:sz w:val="24"/>
        </w:rPr>
      </w:pPr>
    </w:p>
    <w:p w14:paraId="7F6F121B">
      <w:pPr>
        <w:keepNext/>
        <w:keepLines w:val="0"/>
        <w:widowControl/>
        <w:spacing w:before="0" w:after="0" w:line="400" w:lineRule="exact"/>
        <w:ind w:firstLine="0"/>
        <w:jc w:val="both"/>
        <w:rPr>
          <w:rFonts w:ascii="Times New Roman" w:hAnsi="Times New Roman" w:eastAsia="Songti SC"/>
          <w:b w:val="0"/>
          <w:sz w:val="24"/>
        </w:rPr>
      </w:pPr>
      <w:r>
        <w:rPr>
          <w:rFonts w:ascii="Times New Roman" w:hAnsi="Times New Roman" w:eastAsia="Songti SC"/>
          <w:b/>
          <w:sz w:val="24"/>
        </w:rPr>
        <w:t>参考文献</w:t>
      </w:r>
    </w:p>
    <w:p w14:paraId="53B8ADF6">
      <w:pPr>
        <w:keepLines w:val="0"/>
        <w:widowControl/>
        <w:spacing w:before="0" w:after="0" w:line="340" w:lineRule="exact"/>
        <w:ind w:left="480" w:firstLine="0"/>
        <w:jc w:val="left"/>
      </w:pPr>
      <w:r>
        <w:rPr>
          <w:rFonts w:ascii="Times New Roman" w:hAnsi="Times New Roman" w:eastAsia="Songti SC"/>
          <w:b w:val="0"/>
          <w:sz w:val="24"/>
        </w:rPr>
        <w:t>[1] 国务院办公厅. 中国足球改革发展总体方案[EB/OL]. (2015-03-16)[2026-07-29]. https://www.sport.gov.cn/n315/n20067006/c20379795/content.html.</w:t>
      </w:r>
    </w:p>
    <w:p w14:paraId="269C80E4">
      <w:pPr>
        <w:keepLines w:val="0"/>
        <w:widowControl/>
        <w:spacing w:before="0" w:after="0" w:line="340" w:lineRule="exact"/>
        <w:ind w:left="480" w:firstLine="0"/>
        <w:jc w:val="left"/>
      </w:pPr>
      <w:r>
        <w:rPr>
          <w:rFonts w:ascii="Times New Roman" w:hAnsi="Times New Roman" w:eastAsia="Songti SC"/>
          <w:b w:val="0"/>
          <w:sz w:val="24"/>
        </w:rPr>
        <w:t>[2] 国家体育总局等. 中国青少年足球改革发展实施意见[EB/OL]. (2024-02-23)[2026-07-29]. https://www.sport.gov.cn/n315/n20001395/c27588224/content.html.</w:t>
      </w:r>
    </w:p>
    <w:p w14:paraId="429DD072">
      <w:pPr>
        <w:keepLines w:val="0"/>
        <w:widowControl/>
        <w:spacing w:before="0" w:after="0" w:line="340" w:lineRule="exact"/>
        <w:ind w:left="480" w:firstLine="0"/>
        <w:jc w:val="left"/>
      </w:pPr>
      <w:r>
        <w:rPr>
          <w:rFonts w:ascii="Times New Roman" w:hAnsi="Times New Roman" w:eastAsia="Songti SC"/>
          <w:b w:val="0"/>
          <w:sz w:val="24"/>
        </w:rPr>
        <w:t>[3] 国家体育总局. 体育强国建设纲要：强化足球科技支撑[EB/OL]. [2026-07-29]. https://www.sport.gov.cn/n20001280/n20745751/n20767279/c21258227/content.html.</w:t>
      </w:r>
    </w:p>
    <w:p w14:paraId="3086C091">
      <w:pPr>
        <w:keepLines w:val="0"/>
        <w:widowControl/>
        <w:spacing w:before="0" w:after="0" w:line="340" w:lineRule="exact"/>
        <w:ind w:left="480" w:firstLine="0"/>
        <w:jc w:val="left"/>
      </w:pPr>
      <w:r>
        <w:rPr>
          <w:rFonts w:ascii="Times New Roman" w:hAnsi="Times New Roman" w:eastAsia="Songti SC"/>
          <w:b w:val="0"/>
          <w:sz w:val="24"/>
        </w:rPr>
        <w:t>[4] FIFA. Electronic Performance and Tracking Systems (EPTS): Standards[EB/OL]. [2026-07-29]. https://football-technology.fifa.com/innovation/standards/epts.</w:t>
      </w:r>
    </w:p>
    <w:p w14:paraId="4B406A16">
      <w:pPr>
        <w:keepLines w:val="0"/>
        <w:widowControl/>
        <w:spacing w:before="0" w:after="0" w:line="340" w:lineRule="exact"/>
        <w:ind w:left="480" w:firstLine="0"/>
        <w:jc w:val="left"/>
      </w:pPr>
      <w:r>
        <w:rPr>
          <w:rFonts w:ascii="Times New Roman" w:hAnsi="Times New Roman" w:eastAsia="Songti SC"/>
          <w:b w:val="0"/>
          <w:sz w:val="24"/>
        </w:rPr>
        <w:t>[5] FIFA. New global standard for Electronic Performance and Tracking Systems[EB/OL]. [2026-07-29]. https://inside.fifa.com/en/innovation/news/new-global-standard-for-epts.</w:t>
      </w:r>
    </w:p>
    <w:p w14:paraId="4E9A4962">
      <w:pPr>
        <w:keepLines w:val="0"/>
        <w:widowControl/>
        <w:spacing w:before="0" w:after="0" w:line="340" w:lineRule="exact"/>
        <w:ind w:left="480" w:firstLine="0"/>
        <w:jc w:val="left"/>
      </w:pPr>
      <w:r>
        <w:rPr>
          <w:rFonts w:ascii="Times New Roman" w:hAnsi="Times New Roman" w:eastAsia="Songti SC"/>
          <w:b w:val="0"/>
          <w:sz w:val="24"/>
        </w:rPr>
        <w:t>[6] Impellizzeri F M, Marcora S M, Coutts A J. Internal and External Training Load: 15 Years On[J]. International Journal of Sports Physiology and Performance, 2019, 14(2): 270-273. DOI:10.1123/ijspp.2018-0935.</w:t>
      </w:r>
    </w:p>
    <w:p w14:paraId="166C2BAC">
      <w:pPr>
        <w:keepLines w:val="0"/>
        <w:widowControl/>
        <w:spacing w:before="0" w:after="0" w:line="340" w:lineRule="exact"/>
        <w:ind w:left="480" w:firstLine="0"/>
        <w:jc w:val="left"/>
      </w:pPr>
      <w:r>
        <w:rPr>
          <w:rFonts w:ascii="Times New Roman" w:hAnsi="Times New Roman" w:eastAsia="Songti SC"/>
          <w:b w:val="0"/>
          <w:sz w:val="24"/>
        </w:rPr>
        <w:t>[7] Bourdon P C, Cardinale M, Murray A, et al. Monitoring Athlete Training Loads: Consensus Statement[J]. International Journal of Sports Physiology and Performance, 2017, 12(Suppl 2): S2-161-S2-170. DOI:10.1123/IJSPP.2017-0208.</w:t>
      </w:r>
    </w:p>
    <w:p w14:paraId="21CDC26E">
      <w:pPr>
        <w:keepLines w:val="0"/>
        <w:widowControl/>
        <w:spacing w:before="0" w:after="0" w:line="340" w:lineRule="exact"/>
        <w:ind w:left="480" w:firstLine="0"/>
        <w:jc w:val="left"/>
      </w:pPr>
      <w:r>
        <w:rPr>
          <w:rFonts w:ascii="Times New Roman" w:hAnsi="Times New Roman" w:eastAsia="Songti SC"/>
          <w:b w:val="0"/>
          <w:sz w:val="24"/>
        </w:rPr>
        <w:t>[8] de Dios-Álvarez V, Suárez-Iglesias D, Boullosa D, et al. Relationships between RPE-derived internal training load parameters and GPS-based external training load variables in elite young soccer players[J]. Research in Sports Medicine, 2023, 31(1): 58-73. DOI:10.1080/15438627.2021.1937165.</w:t>
      </w:r>
    </w:p>
    <w:p w14:paraId="70A0DACF">
      <w:pPr>
        <w:keepLines w:val="0"/>
        <w:widowControl/>
        <w:spacing w:before="0" w:after="0" w:line="340" w:lineRule="exact"/>
        <w:ind w:left="480" w:firstLine="0"/>
        <w:jc w:val="left"/>
      </w:pPr>
      <w:r>
        <w:rPr>
          <w:rFonts w:ascii="Times New Roman" w:hAnsi="Times New Roman" w:eastAsia="Songti SC"/>
          <w:b w:val="0"/>
          <w:sz w:val="24"/>
        </w:rPr>
        <w:t>[9] ATHLOS项目组. 足球体质宝产品手册（内部资料）[Z]. 2026-07-27.</w:t>
      </w:r>
    </w:p>
    <w:p w14:paraId="6601FC31">
      <w:pPr>
        <w:keepLines w:val="0"/>
        <w:widowControl/>
        <w:spacing w:before="0" w:after="0" w:line="340" w:lineRule="exact"/>
        <w:ind w:left="480" w:firstLine="0"/>
        <w:jc w:val="left"/>
      </w:pPr>
      <w:r>
        <w:rPr>
          <w:rFonts w:ascii="Times New Roman" w:hAnsi="Times New Roman" w:eastAsia="Songti SC"/>
          <w:b w:val="0"/>
          <w:sz w:val="24"/>
        </w:rPr>
        <w:t>[10] ATHLOS项目组. 足球体质宝软硬件系统设计与数据处理技术文档[Z]. 2026-07-29.</w:t>
      </w:r>
    </w:p>
    <w:p w14:paraId="5E6A06DA">
      <w:pPr>
        <w:keepLines w:val="0"/>
        <w:widowControl/>
        <w:spacing w:before="0" w:after="0" w:line="340" w:lineRule="exact"/>
        <w:ind w:left="480" w:firstLine="0"/>
        <w:jc w:val="left"/>
      </w:pPr>
      <w:r>
        <w:rPr>
          <w:rFonts w:ascii="Times New Roman" w:hAnsi="Times New Roman" w:eastAsia="Songti SC"/>
          <w:b w:val="0"/>
          <w:sz w:val="24"/>
        </w:rPr>
        <w:t>[11] Verstappen S, van Rijn R M, Cost R, Stubbe J H. The Association Between Training Load and Injury Risk in Elite Youth Soccer Players: A Systematic Review and Best Evidence Synthesis[J]. Sports Medicine - Open, 2021, 7: 6. DOI:10.1186/s40798-020-00296-1.</w:t>
      </w:r>
    </w:p>
    <w:p w14:paraId="747D4E69">
      <w:pPr>
        <w:keepLines w:val="0"/>
        <w:widowControl/>
        <w:spacing w:before="0" w:after="0" w:line="340" w:lineRule="exact"/>
        <w:ind w:left="480" w:firstLine="0"/>
        <w:jc w:val="left"/>
      </w:pPr>
      <w:r>
        <w:rPr>
          <w:rFonts w:ascii="Times New Roman" w:hAnsi="Times New Roman" w:eastAsia="Songti SC"/>
          <w:b w:val="0"/>
          <w:sz w:val="24"/>
        </w:rPr>
        <w:t>[12] FIFA. Professional Players: Data Protection Portal[EB/OL]. [2026-07-29]. https://inside.fifa.com/data-protection-portal/professional-players.</w:t>
      </w:r>
    </w:p>
    <w:p w14:paraId="3670A9E0">
      <w:pPr>
        <w:keepLines w:val="0"/>
        <w:widowControl/>
        <w:spacing w:before="0" w:after="0" w:line="340" w:lineRule="exact"/>
        <w:ind w:left="480" w:firstLine="0"/>
        <w:jc w:val="left"/>
      </w:pPr>
      <w:r>
        <w:rPr>
          <w:rFonts w:ascii="Times New Roman" w:hAnsi="Times New Roman" w:eastAsia="Songti SC"/>
          <w:b w:val="0"/>
          <w:sz w:val="24"/>
        </w:rPr>
        <w:t>[13] FIFPRO. Charter of Player Data Rights launched for professional footballers[EB/OL]. (2022-09)[2026-07-29]. https://www.fifpro.org/en/articles/2022/09/charter-of-player-data-rights-launched-for-professional-footballers.</w:t>
      </w:r>
    </w:p>
    <w:p w14:paraId="7F6D0F90">
      <w:pPr>
        <w:keepLines w:val="0"/>
        <w:widowControl/>
        <w:spacing w:before="0" w:after="0" w:line="340" w:lineRule="exact"/>
        <w:ind w:left="480" w:firstLine="0"/>
        <w:jc w:val="left"/>
      </w:pPr>
      <w:r>
        <w:rPr>
          <w:rFonts w:ascii="Times New Roman" w:hAnsi="Times New Roman" w:eastAsia="Songti SC"/>
          <w:b w:val="0"/>
          <w:sz w:val="24"/>
        </w:rPr>
        <w:t>[14] Johnston R J, Watsford M L, Kelly S J, Pine M J, Spurrs R W. Validity and interunit reliability of 10 Hz and 15 Hz GPS units for assessing athlete movement demands[J]. Journal of Strength and Conditioning Research, 2014, 28(6): 1649-1655. DOI:10.1519/JSC.0000000000000323.</w:t>
      </w:r>
    </w:p>
    <w:p w14:paraId="5A6E2252">
      <w:pPr>
        <w:keepLines w:val="0"/>
        <w:widowControl/>
        <w:spacing w:before="0" w:after="0" w:line="340" w:lineRule="exact"/>
        <w:ind w:left="480" w:firstLine="0"/>
        <w:jc w:val="left"/>
      </w:pPr>
      <w:r>
        <w:rPr>
          <w:rFonts w:ascii="Times New Roman" w:hAnsi="Times New Roman" w:eastAsia="Songti SC"/>
          <w:b w:val="0"/>
          <w:sz w:val="24"/>
        </w:rPr>
        <w:t>[15] Akenhead R, French D, Thompson K G, Hayes P R. The acceleration dependent validity and reliability of 10 Hz GPS[J]. Journal of Science and Medicine in Sport, 2014, 17(5): 562-566. DOI:10.1016/j.jsams.2013.08.005.</w:t>
      </w:r>
    </w:p>
    <w:p w14:paraId="6E737828">
      <w:pPr>
        <w:keepLines w:val="0"/>
        <w:widowControl/>
        <w:spacing w:before="0" w:after="0" w:line="340" w:lineRule="exact"/>
        <w:ind w:left="480" w:firstLine="0"/>
        <w:jc w:val="left"/>
      </w:pPr>
      <w:r>
        <w:rPr>
          <w:rFonts w:ascii="Times New Roman" w:hAnsi="Times New Roman" w:eastAsia="Songti SC"/>
          <w:b w:val="0"/>
          <w:sz w:val="24"/>
        </w:rPr>
        <w:t>[16] Rago V, Brito J, Figueiredo P, et al. Methods to collect and interpret external training load using microtechnology incorporating GPS in professional football: a systematic review[J]. Research in Sports Medicine, 2020, 28(3): 437-458. DOI:10.1080/15438627.2019.1686703.</w:t>
      </w:r>
    </w:p>
    <w:p w14:paraId="3C39D76B">
      <w:pPr>
        <w:keepLines w:val="0"/>
        <w:widowControl/>
        <w:spacing w:before="0" w:after="0" w:line="340" w:lineRule="exact"/>
        <w:ind w:left="480" w:firstLine="0"/>
        <w:jc w:val="left"/>
      </w:pPr>
      <w:r>
        <w:rPr>
          <w:rFonts w:ascii="Times New Roman" w:hAnsi="Times New Roman" w:eastAsia="Songti SC"/>
          <w:b w:val="0"/>
          <w:sz w:val="24"/>
        </w:rPr>
        <w:t>[17] Harkness-Armstrong A, Till K, Datson N, Emmonds S. Determining age-specific velocity thresholds for elite youth female soccer players[J]. Science and Medicine in Football, 2022, 6(5): 581-588. DOI:10.1080/24733938.2021.1991585.</w:t>
      </w:r>
    </w:p>
    <w:p w14:paraId="0791A61D">
      <w:pPr>
        <w:keepLines w:val="0"/>
        <w:widowControl/>
        <w:spacing w:before="0" w:after="0" w:line="340" w:lineRule="exact"/>
        <w:ind w:left="480" w:firstLine="0"/>
        <w:jc w:val="left"/>
      </w:pPr>
      <w:r>
        <w:rPr>
          <w:rFonts w:ascii="Times New Roman" w:hAnsi="Times New Roman" w:eastAsia="Songti SC"/>
          <w:b w:val="0"/>
          <w:sz w:val="24"/>
        </w:rPr>
        <w:t>[18] Clubb J, Towlson C, Barrett S. Measurement properties of external training load variables during standardised games in soccer: Implications for training and monitoring strategies[J]. PLoS ONE, 2022, 17(1): e0262274. DOI:10.1371/journal.pone.0262274.</w:t>
      </w:r>
    </w:p>
    <w:p w14:paraId="415179D8">
      <w:pPr>
        <w:keepLines w:val="0"/>
        <w:widowControl/>
        <w:spacing w:before="0" w:after="0" w:line="340" w:lineRule="exact"/>
        <w:ind w:left="480" w:firstLine="0"/>
        <w:jc w:val="left"/>
      </w:pPr>
      <w:r>
        <w:rPr>
          <w:rFonts w:ascii="Times New Roman" w:hAnsi="Times New Roman" w:eastAsia="Songti SC"/>
          <w:b w:val="0"/>
          <w:sz w:val="24"/>
        </w:rPr>
        <w:t>[19] Ravé G, Granacher U, Boullosa D, Hackney A C, Zouhal H. How to Use Global Positioning Systems (GPS) Data to Monitor Training Load in the Real World of Elite Soccer[J]. Frontiers in Physiology, 2020, 11: 944. DOI:10.3389/fphys.2020.00944.</w:t>
      </w:r>
    </w:p>
    <w:p w14:paraId="2C7CB9D8">
      <w:pPr>
        <w:keepLines w:val="0"/>
        <w:widowControl/>
        <w:spacing w:before="0" w:after="0" w:line="340" w:lineRule="exact"/>
        <w:ind w:left="480" w:firstLine="0"/>
        <w:jc w:val="left"/>
      </w:pPr>
      <w:r>
        <w:rPr>
          <w:rFonts w:ascii="Times New Roman" w:hAnsi="Times New Roman" w:eastAsia="Songti SC"/>
          <w:b w:val="0"/>
          <w:sz w:val="24"/>
        </w:rPr>
        <w:t>[20] Green M, Ward P, Bickley M, et al. Time to change direction in training load monitoring in elite football? The application of MEMS accelerometers for the evaluation of movement requirements[J]. Science and Medicine in Football, 2023, 7(1): 15-24. DOI:10.1080/24733938.2022.2053337.</w:t>
      </w:r>
    </w:p>
    <w:sectPr>
      <w:footerReference r:id="rId5" w:type="default"/>
      <w:pgSz w:w="11906" w:h="16838"/>
      <w:pgMar w:top="1417" w:right="1474" w:bottom="1247" w:left="1474" w:header="680" w:footer="68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mbria">
    <w:altName w:val="苹方-简"/>
    <w:panose1 w:val="02040503050406030204"/>
    <w:charset w:val="00"/>
    <w:family w:val="auto"/>
    <w:pitch w:val="default"/>
    <w:sig w:usb0="00000000" w:usb1="00000000" w:usb2="00000000" w:usb3="00000000" w:csb0="0000019F" w:csb1="00000000"/>
  </w:font>
  <w:font w:name="ＭＳ 明朝">
    <w:altName w:val="Hiragino Sans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Hiragino San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ongti SC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ＭＳ ゴシック">
    <w:altName w:val="Hiragino Sans"/>
    <w:panose1 w:val="00000000000000000000"/>
    <w:charset w:val="80"/>
    <w:family w:val="modern"/>
    <w:pitch w:val="default"/>
    <w:sig w:usb0="00000000" w:usb1="00000000" w:usb2="00000010" w:usb3="00000000" w:csb0="00020000" w:csb1="00000000"/>
  </w:font>
  <w:font w:name="Courier">
    <w:altName w:val="苹方-简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Hiragino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iragino Sans">
    <w:panose1 w:val="020B0300000000000000"/>
    <w:charset w:val="80"/>
    <w:family w:val="auto"/>
    <w:pitch w:val="default"/>
    <w:sig w:usb0="E00002FF" w:usb1="7AE7FFFF" w:usb2="00000012" w:usb3="00000000" w:csb0="0002000D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ＭＳ ゴシック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8BDA1D">
    <w:pPr>
      <w:pStyle w:val="24"/>
      <w:jc w:val="center"/>
    </w:pPr>
    <w:r>
      <w:rPr>
        <w:rFonts w:ascii="Times New Roman" w:hAnsi="Times New Roman" w:eastAsia="Songti SC"/>
        <w:b w:val="0"/>
        <w:sz w:val="21"/>
      </w:rPr>
      <w:fldChar w:fldCharType="begin"/>
    </w:r>
    <w:r>
      <w:rPr>
        <w:rFonts w:ascii="Times New Roman" w:hAnsi="Times New Roman" w:eastAsia="Songti SC"/>
        <w:b w:val="0"/>
        <w:sz w:val="21"/>
      </w:rPr>
      <w:instrText xml:space="preserve"> PAGE </w:instrText>
    </w:r>
    <w:r>
      <w:rPr>
        <w:rFonts w:ascii="Times New Roman" w:hAnsi="Times New Roman" w:eastAsia="Songti SC"/>
        <w:b w:val="0"/>
        <w:sz w:val="21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7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FFFEB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Songti SC" w:hAnsi="Songti SC" w:eastAsia="Songti SC" w:cstheme="minorBidi"/>
      <w:sz w:val="24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1.xml"/><Relationship Id="rId13" Type="http://schemas.openxmlformats.org/officeDocument/2006/relationships/numbering" Target="numbering.xml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tyleName="APA" SelectedStyle="/APA.XSL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16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Office_12.1.26026.26026_F1E327BC-269C-435d-A152-05C5408002CA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2013-12-24T07:15:00Z</dcterms:created>
  <dc:creator>李传奇</dc:creator>
  <dc:description>generated by python-docx</dc:description>
  <cp:keywords>足球训练, 智能穿戴设备, 运动表现评估, 训练负荷, 时间切片, 真实世界数据</cp:keywords>
  <cp:lastModifiedBy>Zhuoyue Shao</cp:lastModifiedBy>
  <dcterms:modified xsi:type="dcterms:W3CDTF">2026-07-29T14:30:47Z</dcterms:modified>
  <dc:subject>足球智造 科技赋能足球发展研讨会征文</dc:subject>
  <dc:title>智能穿戴设备在足球训练监测与表现评估中的应用研究：基于 ATHLOS 足球运动表现系统的实践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2052-12.1.26026.26026</vt:lpwstr>
  </property>
  <property fmtid="{D5CDD505-2E9C-101B-9397-08002B2CF9AE}" pid="3" name="ICV">
    <vt:lpwstr>8CC905B3413AC50A179E696AE17A1A90_42</vt:lpwstr>
  </property>
</Properties>
</file>